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7EC" w:rsidRPr="00D66C69" w:rsidRDefault="002616D7" w:rsidP="000C2D2A">
      <w:pPr>
        <w:pBdr>
          <w:top w:val="nil"/>
          <w:left w:val="nil"/>
          <w:bottom w:val="nil"/>
          <w:right w:val="nil"/>
          <w:between w:val="nil"/>
        </w:pBdr>
        <w:spacing w:after="0" w:line="240" w:lineRule="auto"/>
        <w:jc w:val="right"/>
        <w:rPr>
          <w:rFonts w:ascii="Arial Narrow" w:eastAsia="Arial" w:hAnsi="Arial Narrow" w:cs="Arial"/>
          <w:color w:val="000000"/>
          <w:sz w:val="20"/>
          <w:szCs w:val="20"/>
          <w:lang w:val="en-GB"/>
        </w:rPr>
      </w:pPr>
      <w:r w:rsidRPr="00D66C69">
        <w:rPr>
          <w:rFonts w:ascii="Arial Narrow" w:eastAsia="Arial" w:hAnsi="Arial Narrow" w:cs="Arial"/>
          <w:color w:val="000000"/>
          <w:sz w:val="20"/>
          <w:szCs w:val="20"/>
          <w:lang w:val="en-GB"/>
        </w:rPr>
        <w:t xml:space="preserve">Annex to the Order of the Director of the Institute No. 33/24 of </w:t>
      </w:r>
      <w:r w:rsidR="006C3606" w:rsidRPr="00D66C69">
        <w:rPr>
          <w:rFonts w:ascii="Arial Narrow" w:eastAsia="Arial" w:hAnsi="Arial Narrow" w:cs="Arial"/>
          <w:color w:val="000000"/>
          <w:sz w:val="20"/>
          <w:szCs w:val="20"/>
          <w:lang w:val="en-GB"/>
        </w:rPr>
        <w:t xml:space="preserve">17 </w:t>
      </w:r>
      <w:r w:rsidRPr="00D66C69">
        <w:rPr>
          <w:rFonts w:ascii="Arial Narrow" w:eastAsia="Arial" w:hAnsi="Arial Narrow" w:cs="Arial"/>
          <w:color w:val="000000"/>
          <w:sz w:val="20"/>
          <w:szCs w:val="20"/>
          <w:lang w:val="en-GB"/>
        </w:rPr>
        <w:t xml:space="preserve">September 2024 </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b/>
          <w:color w:val="000000"/>
          <w:sz w:val="26"/>
          <w:szCs w:val="26"/>
          <w:lang w:val="en-GB"/>
        </w:rPr>
      </w:pPr>
    </w:p>
    <w:p w:rsidR="000C2D2A" w:rsidRPr="00D66C69" w:rsidRDefault="000C2D2A" w:rsidP="000C2D2A">
      <w:pPr>
        <w:pBdr>
          <w:top w:val="nil"/>
          <w:left w:val="nil"/>
          <w:bottom w:val="nil"/>
          <w:right w:val="nil"/>
          <w:between w:val="nil"/>
        </w:pBdr>
        <w:spacing w:after="0" w:line="240" w:lineRule="auto"/>
        <w:jc w:val="both"/>
        <w:rPr>
          <w:rFonts w:ascii="Arial Narrow" w:eastAsia="Arial" w:hAnsi="Arial Narrow" w:cs="Arial"/>
          <w:b/>
          <w:color w:val="000000"/>
          <w:sz w:val="26"/>
          <w:szCs w:val="26"/>
          <w:lang w:val="en-GB"/>
        </w:rPr>
      </w:pPr>
    </w:p>
    <w:p w:rsidR="006C3606" w:rsidRPr="00D66C69" w:rsidRDefault="002616D7" w:rsidP="000C2D2A">
      <w:pPr>
        <w:pBdr>
          <w:top w:val="nil"/>
          <w:left w:val="nil"/>
          <w:bottom w:val="nil"/>
          <w:right w:val="nil"/>
          <w:between w:val="nil"/>
        </w:pBdr>
        <w:spacing w:after="0" w:line="240" w:lineRule="auto"/>
        <w:jc w:val="center"/>
        <w:rPr>
          <w:rFonts w:ascii="Arial Narrow" w:eastAsia="Arial" w:hAnsi="Arial Narrow" w:cs="Arial"/>
          <w:b/>
          <w:color w:val="000000"/>
          <w:sz w:val="26"/>
          <w:szCs w:val="26"/>
          <w:lang w:val="en-GB"/>
        </w:rPr>
      </w:pPr>
      <w:r w:rsidRPr="00D66C69">
        <w:rPr>
          <w:rFonts w:ascii="Arial Narrow" w:eastAsia="Arial" w:hAnsi="Arial Narrow" w:cs="Arial"/>
          <w:b/>
          <w:color w:val="000000"/>
          <w:sz w:val="26"/>
          <w:szCs w:val="26"/>
          <w:lang w:val="en-GB"/>
        </w:rPr>
        <w:t>Regulations for internal reporting</w:t>
      </w: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sz w:val="26"/>
          <w:szCs w:val="26"/>
          <w:lang w:val="en-GB"/>
        </w:rPr>
      </w:pPr>
      <w:r w:rsidRPr="00D66C69">
        <w:rPr>
          <w:rFonts w:ascii="Arial Narrow" w:eastAsia="Arial" w:hAnsi="Arial Narrow" w:cs="Arial"/>
          <w:b/>
          <w:color w:val="000000"/>
          <w:sz w:val="26"/>
          <w:szCs w:val="26"/>
          <w:lang w:val="en-GB"/>
        </w:rPr>
        <w:t xml:space="preserve">at the </w:t>
      </w:r>
      <w:r w:rsidR="006C3606" w:rsidRPr="00D66C69">
        <w:rPr>
          <w:rFonts w:ascii="Arial Narrow" w:eastAsia="Arial" w:hAnsi="Arial Narrow" w:cs="Arial"/>
          <w:b/>
          <w:color w:val="000000"/>
          <w:sz w:val="26"/>
          <w:szCs w:val="26"/>
          <w:lang w:val="en-GB"/>
        </w:rPr>
        <w:t>National Research Institute of Animal Production</w:t>
      </w:r>
    </w:p>
    <w:p w:rsidR="008D57EC" w:rsidRPr="00D66C69" w:rsidRDefault="008D57EC" w:rsidP="000C2D2A">
      <w:pPr>
        <w:pBdr>
          <w:top w:val="nil"/>
          <w:left w:val="nil"/>
          <w:bottom w:val="nil"/>
          <w:right w:val="nil"/>
          <w:between w:val="nil"/>
        </w:pBdr>
        <w:spacing w:after="0" w:line="240" w:lineRule="auto"/>
        <w:jc w:val="center"/>
        <w:rPr>
          <w:rFonts w:ascii="Arial Narrow" w:eastAsia="Arial" w:hAnsi="Arial Narrow" w:cs="Arial"/>
          <w:b/>
          <w:color w:val="000000"/>
          <w:lang w:val="en-GB"/>
        </w:rPr>
      </w:pPr>
    </w:p>
    <w:p w:rsidR="000C2D2A" w:rsidRPr="00D66C69" w:rsidRDefault="000C2D2A" w:rsidP="000C2D2A">
      <w:pPr>
        <w:pBdr>
          <w:top w:val="nil"/>
          <w:left w:val="nil"/>
          <w:bottom w:val="nil"/>
          <w:right w:val="nil"/>
          <w:between w:val="nil"/>
        </w:pBdr>
        <w:spacing w:after="0" w:line="240" w:lineRule="auto"/>
        <w:jc w:val="center"/>
        <w:rPr>
          <w:rFonts w:ascii="Arial Narrow" w:eastAsia="Arial" w:hAnsi="Arial Narrow" w:cs="Arial"/>
          <w:b/>
          <w:color w:val="000000"/>
          <w:lang w:val="en-GB"/>
        </w:rPr>
      </w:pP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 1</w:t>
      </w: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General provisions</w:t>
      </w:r>
    </w:p>
    <w:p w:rsidR="008D57EC" w:rsidRPr="00D66C69" w:rsidRDefault="00790DD4" w:rsidP="00790DD4">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w:t>
      </w:r>
      <w:r w:rsidR="002616D7" w:rsidRPr="00D66C69">
        <w:rPr>
          <w:rFonts w:ascii="Arial Narrow" w:eastAsia="Arial" w:hAnsi="Arial Narrow" w:cs="Arial"/>
          <w:color w:val="000000"/>
          <w:lang w:val="en-GB"/>
        </w:rPr>
        <w:t xml:space="preserve">These regulations (hereinafter referred to as the "Regulations") define the internal procedure for reporting violations of the law at the National Research Institute </w:t>
      </w:r>
      <w:r w:rsidR="006C3606" w:rsidRPr="00D66C69">
        <w:rPr>
          <w:rFonts w:ascii="Arial Narrow" w:eastAsia="Arial" w:hAnsi="Arial Narrow" w:cs="Arial"/>
          <w:color w:val="000000"/>
          <w:lang w:val="en-GB"/>
        </w:rPr>
        <w:t xml:space="preserve">of Animal Production </w:t>
      </w:r>
      <w:r w:rsidR="002616D7" w:rsidRPr="00D66C69">
        <w:rPr>
          <w:rFonts w:ascii="Arial Narrow" w:eastAsia="Arial" w:hAnsi="Arial Narrow" w:cs="Arial"/>
          <w:color w:val="000000"/>
          <w:lang w:val="en-GB"/>
        </w:rPr>
        <w:t>(hereinafter referred to as the "Institute"), understood as an act or omission that is unlawful or inten</w:t>
      </w:r>
      <w:bookmarkStart w:id="0" w:name="_GoBack"/>
      <w:bookmarkEnd w:id="0"/>
      <w:r w:rsidR="002616D7" w:rsidRPr="00D66C69">
        <w:rPr>
          <w:rFonts w:ascii="Arial Narrow" w:eastAsia="Arial" w:hAnsi="Arial Narrow" w:cs="Arial"/>
          <w:color w:val="000000"/>
          <w:lang w:val="en-GB"/>
        </w:rPr>
        <w:t>ded to circumvent the law, regarding: corruption; public procurement; financial services, products and markets; counteracting money laundering and terrorism financing; product safety and compliance with requirements; transport safety; environmental protection; radiological protection and nuclear safety; food and feed safety; animal health and welfare; public health; consumer protection; protection of privacy and personal data; security of networks and I</w:t>
      </w:r>
      <w:r w:rsidR="00672246">
        <w:rPr>
          <w:rFonts w:ascii="Arial Narrow" w:eastAsia="Arial" w:hAnsi="Arial Narrow" w:cs="Arial"/>
          <w:color w:val="000000"/>
          <w:lang w:val="en-GB"/>
        </w:rPr>
        <w:t>C</w:t>
      </w:r>
      <w:r w:rsidR="002616D7" w:rsidRPr="00D66C69">
        <w:rPr>
          <w:rFonts w:ascii="Arial Narrow" w:eastAsia="Arial" w:hAnsi="Arial Narrow" w:cs="Arial"/>
          <w:color w:val="000000"/>
          <w:lang w:val="en-GB"/>
        </w:rPr>
        <w:t xml:space="preserve">T systems; financial interests of the State Treasury of the Republic of Poland, local government units and the European Union; the internal market of the European Union, including public law rules on competition and state aid as well as corporate taxation; constitutional freedoms and rights of humans and citizens </w:t>
      </w:r>
      <w:r w:rsidR="00BA4C7E" w:rsidRPr="00D66C69">
        <w:rPr>
          <w:rFonts w:ascii="Arial Narrow" w:eastAsia="Arial" w:hAnsi="Arial Narrow" w:cs="Arial"/>
          <w:color w:val="000000"/>
          <w:lang w:val="en-GB"/>
        </w:rPr>
        <w:t>–</w:t>
      </w:r>
      <w:r w:rsidR="002616D7" w:rsidRPr="00D66C69">
        <w:rPr>
          <w:rFonts w:ascii="Arial Narrow" w:eastAsia="Arial" w:hAnsi="Arial Narrow" w:cs="Arial"/>
          <w:color w:val="000000"/>
          <w:lang w:val="en-GB"/>
        </w:rPr>
        <w:t xml:space="preserve"> occurring in an individual's relations with public authorities and unrelated to the areas indicated above. The Regulations also enable reporting information about violations of the Institute's internal regulations, the scope of which concerns the areas of law described in the preceding sentence.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The procedure for reporting violations serves to increase the effectiveness of detecting irregularities and taking actions to eliminate them and reduce risks at all organizational levels of the Institute.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3. The Regulations enable reliable and independent examination of the report and in a way that ensures protection against retaliatory, repressive, discriminatory or other types of unfair treatment in connection with the report.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4. The scope of the Regulations covers reports of violations, regardless of whether the reports are made by persons working at the Institute (or its branch) under an employment relationship or by other persons who became aware of the violation in the context related to the work of the Institute, regardless of the legal basis and form of performing work, performing a function or performing service, as well as regardless of whether a given legal relationship is yet to be established, exists or has already ceased. </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5. Each employee of the Institute (or its branch) is obliged to read the content of the Regulations (a new employee is obliged to read the content of the Regulations before being allowed to work). </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 2</w:t>
      </w: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Definitions</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bookmarkStart w:id="1" w:name="_gjdgxs" w:colFirst="0" w:colLast="0"/>
      <w:bookmarkEnd w:id="1"/>
      <w:r w:rsidRPr="00D66C69">
        <w:rPr>
          <w:rFonts w:ascii="Arial Narrow" w:eastAsia="Arial" w:hAnsi="Arial Narrow" w:cs="Arial"/>
          <w:color w:val="000000"/>
          <w:lang w:val="en-GB"/>
        </w:rPr>
        <w:t xml:space="preserve">1. The terms used in the Regulations mean: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1) follow-up action</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action taken to assess the accuracy of the information contained in the </w:t>
      </w:r>
      <w:r w:rsidR="008134CB" w:rsidRPr="00D66C69">
        <w:rPr>
          <w:rFonts w:ascii="Arial Narrow" w:eastAsia="Arial" w:hAnsi="Arial Narrow" w:cs="Arial"/>
          <w:color w:val="000000"/>
          <w:lang w:val="en-GB"/>
        </w:rPr>
        <w:t xml:space="preserve">report </w:t>
      </w:r>
      <w:r w:rsidRPr="00D66C69">
        <w:rPr>
          <w:rFonts w:ascii="Arial Narrow" w:eastAsia="Arial" w:hAnsi="Arial Narrow" w:cs="Arial"/>
          <w:color w:val="000000"/>
          <w:lang w:val="en-GB"/>
        </w:rPr>
        <w:t xml:space="preserve">and to prevent the violation of law that is the subject of the report; </w:t>
      </w:r>
    </w:p>
    <w:p w:rsidR="008D57EC" w:rsidRPr="00D66C69" w:rsidRDefault="002616D7" w:rsidP="005032F0">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2) retaliatory action</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direct or indirect action or omission related to a report that violates or may violate the </w:t>
      </w:r>
      <w:proofErr w:type="spellStart"/>
      <w:r w:rsidRPr="00D66C69">
        <w:rPr>
          <w:rFonts w:ascii="Arial Narrow" w:eastAsia="Arial" w:hAnsi="Arial Narrow" w:cs="Arial"/>
          <w:color w:val="000000"/>
          <w:lang w:val="en-GB"/>
        </w:rPr>
        <w:t>whistleblower's</w:t>
      </w:r>
      <w:proofErr w:type="spellEnd"/>
      <w:r w:rsidRPr="00D66C69">
        <w:rPr>
          <w:rFonts w:ascii="Arial Narrow" w:eastAsia="Arial" w:hAnsi="Arial Narrow" w:cs="Arial"/>
          <w:color w:val="000000"/>
          <w:lang w:val="en-GB"/>
        </w:rPr>
        <w:t xml:space="preserve"> rights or causes or may cause unjustified damage to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including unjustified initiation of proceedings against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3) information about violation of law</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information, including reasonable suspicion regarding an actual or potential violation of law that has occurred or is likely to occur;</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4) feedback</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information provided to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on planned or undertaken follow-up actions and the reasons for such actions;</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5) reporting committee</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a committee established by order of the Director of the Institute, authorized to accept reports, take follow-up actions including verification of the report and further communication with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and keep a register of reports.</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6) violation</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violation of the law or internal regulations of the Institute to the extent specified in § 1 section 1;</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lastRenderedPageBreak/>
        <w:t>7) employer</w:t>
      </w:r>
      <w:r w:rsidR="00BA4C7E" w:rsidRPr="00D66C69">
        <w:rPr>
          <w:rFonts w:ascii="Arial Narrow" w:eastAsia="Arial" w:hAnsi="Arial Narrow" w:cs="Arial"/>
          <w:color w:val="000000"/>
          <w:lang w:val="en-GB"/>
        </w:rPr>
        <w:t xml:space="preserve"> – </w:t>
      </w:r>
      <w:r w:rsidR="003058E2" w:rsidRPr="00D66C69">
        <w:rPr>
          <w:rFonts w:ascii="Arial Narrow" w:eastAsia="Arial" w:hAnsi="Arial Narrow" w:cs="Arial"/>
          <w:color w:val="000000"/>
          <w:lang w:val="en-GB"/>
        </w:rPr>
        <w:t>National Research Institute of Animal Production</w:t>
      </w:r>
      <w:r w:rsidRPr="00D66C69">
        <w:rPr>
          <w:rFonts w:ascii="Arial Narrow" w:eastAsia="Arial" w:hAnsi="Arial Narrow" w:cs="Arial"/>
          <w:color w:val="000000"/>
          <w:lang w:val="en-GB"/>
        </w:rPr>
        <w:t>, on behalf of and for which the Director of the Institute or a person authorized by him acts;</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8)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 a person reporting a violation of the law or internal regulations in force at the Institute;</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9) report – an oral or written internal report submitted in accordance with these Regulations;</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10) external reporting</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oral or written submission of information about a violation of the law to the Commissioner for Human Rights or a public authority.</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§3</w:t>
      </w:r>
    </w:p>
    <w:p w:rsidR="008D57EC" w:rsidRPr="00D66C69" w:rsidRDefault="0008197F"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 xml:space="preserve">Reporting </w:t>
      </w:r>
      <w:r w:rsidR="002616D7" w:rsidRPr="00D66C69">
        <w:rPr>
          <w:rFonts w:ascii="Arial Narrow" w:eastAsia="Arial" w:hAnsi="Arial Narrow" w:cs="Arial"/>
          <w:b/>
          <w:color w:val="000000"/>
          <w:lang w:val="en-GB"/>
        </w:rPr>
        <w:t>procedure</w:t>
      </w:r>
    </w:p>
    <w:p w:rsidR="006C3606"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1.</w:t>
      </w:r>
      <w:r w:rsidR="006C3606" w:rsidRPr="00D66C69">
        <w:rPr>
          <w:rFonts w:ascii="Arial Narrow" w:eastAsia="Arial Narrow" w:hAnsi="Arial Narrow" w:cs="Arial Narrow"/>
          <w:color w:val="000000"/>
          <w:lang w:val="en-GB"/>
        </w:rPr>
        <w:t xml:space="preserve"> </w:t>
      </w:r>
      <w:r w:rsidR="00543CFB" w:rsidRPr="00D66C69">
        <w:rPr>
          <w:rFonts w:ascii="Arial Narrow" w:eastAsia="Arial Narrow" w:hAnsi="Arial Narrow" w:cs="Arial Narrow"/>
          <w:color w:val="000000"/>
          <w:lang w:val="en-GB"/>
        </w:rPr>
        <w:t xml:space="preserve">The </w:t>
      </w:r>
      <w:r w:rsidR="0008197F" w:rsidRPr="00D66C69">
        <w:rPr>
          <w:rFonts w:ascii="Arial Narrow" w:eastAsia="Arial Narrow" w:hAnsi="Arial Narrow" w:cs="Arial Narrow"/>
          <w:color w:val="000000"/>
          <w:lang w:val="en-GB"/>
        </w:rPr>
        <w:t xml:space="preserve">report </w:t>
      </w:r>
      <w:r w:rsidRPr="00D66C69">
        <w:rPr>
          <w:rFonts w:ascii="Arial Narrow" w:eastAsia="Arial" w:hAnsi="Arial Narrow" w:cs="Arial"/>
          <w:color w:val="000000"/>
          <w:lang w:val="en-GB"/>
        </w:rPr>
        <w:t>may be submitted:</w:t>
      </w:r>
    </w:p>
    <w:p w:rsidR="006C3606"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1)</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in writing:</w:t>
      </w:r>
    </w:p>
    <w:p w:rsidR="006C3606" w:rsidRPr="00D66C69" w:rsidRDefault="002616D7" w:rsidP="006A00EA">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a)</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in paper form</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by sending or forwarding the </w:t>
      </w:r>
      <w:r w:rsidR="0008197F" w:rsidRPr="00D66C69">
        <w:rPr>
          <w:rFonts w:ascii="Arial Narrow" w:eastAsia="Arial" w:hAnsi="Arial Narrow" w:cs="Arial"/>
          <w:color w:val="000000"/>
          <w:lang w:val="en-GB"/>
        </w:rPr>
        <w:t xml:space="preserve">report </w:t>
      </w:r>
      <w:r w:rsidRPr="00D66C69">
        <w:rPr>
          <w:rFonts w:ascii="Arial Narrow" w:eastAsia="Arial" w:hAnsi="Arial Narrow" w:cs="Arial"/>
          <w:color w:val="000000"/>
          <w:lang w:val="en-GB"/>
        </w:rPr>
        <w:t xml:space="preserve">to the following address: </w:t>
      </w:r>
      <w:r w:rsidR="00E14357" w:rsidRPr="00D66C69">
        <w:rPr>
          <w:rFonts w:ascii="Arial Narrow" w:eastAsia="Arial" w:hAnsi="Arial Narrow" w:cs="Arial"/>
          <w:color w:val="000000"/>
          <w:lang w:val="en-GB"/>
        </w:rPr>
        <w:t>National Research Institute of Animal Production</w:t>
      </w:r>
      <w:r w:rsidRPr="00D66C69">
        <w:rPr>
          <w:rFonts w:ascii="Arial Narrow" w:eastAsia="Arial" w:hAnsi="Arial Narrow" w:cs="Arial"/>
          <w:color w:val="000000"/>
          <w:lang w:val="en-GB"/>
        </w:rPr>
        <w:t xml:space="preserve">, ul. </w:t>
      </w:r>
      <w:proofErr w:type="spellStart"/>
      <w:r w:rsidRPr="00D66C69">
        <w:rPr>
          <w:rFonts w:ascii="Arial Narrow" w:eastAsia="Arial" w:hAnsi="Arial Narrow" w:cs="Arial"/>
          <w:color w:val="000000"/>
          <w:lang w:val="en-GB"/>
        </w:rPr>
        <w:t>Krakowska</w:t>
      </w:r>
      <w:proofErr w:type="spellEnd"/>
      <w:r w:rsidRPr="00D66C69">
        <w:rPr>
          <w:rFonts w:ascii="Arial Narrow" w:eastAsia="Arial" w:hAnsi="Arial Narrow" w:cs="Arial"/>
          <w:color w:val="000000"/>
          <w:lang w:val="en-GB"/>
        </w:rPr>
        <w:t xml:space="preserve"> 1, 32-083 </w:t>
      </w:r>
      <w:proofErr w:type="spellStart"/>
      <w:r w:rsidRPr="00D66C69">
        <w:rPr>
          <w:rFonts w:ascii="Arial Narrow" w:eastAsia="Arial" w:hAnsi="Arial Narrow" w:cs="Arial"/>
          <w:color w:val="000000"/>
          <w:lang w:val="en-GB"/>
        </w:rPr>
        <w:t>Balice</w:t>
      </w:r>
      <w:proofErr w:type="spellEnd"/>
      <w:r w:rsidRPr="00D66C69">
        <w:rPr>
          <w:rFonts w:ascii="Arial Narrow" w:eastAsia="Arial" w:hAnsi="Arial Narrow" w:cs="Arial"/>
          <w:color w:val="000000"/>
          <w:lang w:val="en-GB"/>
        </w:rPr>
        <w:t>, with the note "</w:t>
      </w:r>
      <w:r w:rsidR="0070476E" w:rsidRPr="00D66C69">
        <w:rPr>
          <w:rFonts w:ascii="Arial Narrow" w:eastAsia="Arial" w:hAnsi="Arial Narrow" w:cs="Arial"/>
          <w:color w:val="000000"/>
          <w:lang w:val="en-GB"/>
        </w:rPr>
        <w:t xml:space="preserve">Reporting </w:t>
      </w:r>
      <w:r w:rsidRPr="00D66C69">
        <w:rPr>
          <w:rFonts w:ascii="Arial Narrow" w:eastAsia="Arial" w:hAnsi="Arial Narrow" w:cs="Arial"/>
          <w:color w:val="000000"/>
          <w:lang w:val="en-GB"/>
        </w:rPr>
        <w:t>Committee";</w:t>
      </w:r>
    </w:p>
    <w:p w:rsidR="006C3606" w:rsidRPr="00D66C69" w:rsidRDefault="002616D7" w:rsidP="006A00EA">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b)</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in electronic form</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by sending the </w:t>
      </w:r>
      <w:r w:rsidR="0008197F"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to the e-mail address: </w:t>
      </w:r>
      <w:hyperlink r:id="rId5" w:history="1">
        <w:r w:rsidR="006C3606" w:rsidRPr="00D66C69">
          <w:rPr>
            <w:rStyle w:val="Hipercze"/>
            <w:rFonts w:ascii="Arial Narrow" w:eastAsia="Arial" w:hAnsi="Arial Narrow" w:cs="Arial"/>
            <w:lang w:val="en-GB"/>
          </w:rPr>
          <w:t>sygnalista@iz.edu.pl</w:t>
        </w:r>
      </w:hyperlink>
      <w:r w:rsidRPr="00D66C69">
        <w:rPr>
          <w:rFonts w:ascii="Arial Narrow" w:eastAsia="Arial" w:hAnsi="Arial Narrow" w:cs="Arial"/>
          <w:color w:val="000000"/>
          <w:lang w:val="en-GB"/>
        </w:rPr>
        <w:t>;</w:t>
      </w:r>
    </w:p>
    <w:p w:rsidR="006C3606"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2)</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orally:</w:t>
      </w:r>
    </w:p>
    <w:p w:rsidR="006C3606" w:rsidRPr="00D66C69" w:rsidRDefault="002616D7" w:rsidP="006A00EA">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a)</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 xml:space="preserve">by phone +48 798 936 849 – </w:t>
      </w:r>
      <w:r w:rsidRPr="00D66C69">
        <w:rPr>
          <w:rFonts w:ascii="Arial Narrow" w:eastAsia="Arial Narrow" w:hAnsi="Arial Narrow" w:cs="Arial Narrow"/>
          <w:color w:val="000000"/>
          <w:lang w:val="en-GB"/>
        </w:rPr>
        <w:t>a</w:t>
      </w:r>
      <w:r w:rsidR="000C4417" w:rsidRPr="00D66C69">
        <w:rPr>
          <w:rFonts w:ascii="Arial Narrow" w:eastAsia="Arial Narrow" w:hAnsi="Arial Narrow" w:cs="Arial Narrow"/>
          <w:color w:val="000000"/>
          <w:lang w:val="en-GB"/>
        </w:rPr>
        <w:t xml:space="preserve">vailable </w:t>
      </w:r>
      <w:r w:rsidRPr="00D66C69">
        <w:rPr>
          <w:rFonts w:ascii="Arial Narrow" w:eastAsia="Arial" w:hAnsi="Arial Narrow" w:cs="Arial"/>
          <w:color w:val="000000"/>
          <w:lang w:val="en-GB"/>
        </w:rPr>
        <w:t>on Wednesday</w:t>
      </w:r>
      <w:r w:rsidR="00C446A0" w:rsidRPr="00D66C69">
        <w:rPr>
          <w:rFonts w:ascii="Arial Narrow" w:eastAsia="Arial" w:hAnsi="Arial Narrow" w:cs="Arial"/>
          <w:color w:val="000000"/>
          <w:lang w:val="en-GB"/>
        </w:rPr>
        <w:t>s</w:t>
      </w:r>
      <w:r w:rsidRPr="00D66C69">
        <w:rPr>
          <w:rFonts w:ascii="Arial Narrow" w:eastAsia="Arial" w:hAnsi="Arial Narrow" w:cs="Arial"/>
          <w:color w:val="000000"/>
          <w:lang w:val="en-GB"/>
        </w:rPr>
        <w:t xml:space="preserve"> (on working days), at</w:t>
      </w:r>
      <w:r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10</w:t>
      </w:r>
      <w:r w:rsidR="00224B60" w:rsidRPr="00D66C69">
        <w:rPr>
          <w:rFonts w:ascii="Arial Narrow" w:eastAsia="Arial" w:hAnsi="Arial Narrow" w:cs="Arial"/>
          <w:color w:val="000000"/>
          <w:lang w:val="en-GB"/>
        </w:rPr>
        <w:t>:</w:t>
      </w:r>
      <w:r w:rsidRPr="00D66C69">
        <w:rPr>
          <w:rFonts w:ascii="Arial Narrow" w:eastAsia="Arial" w:hAnsi="Arial Narrow" w:cs="Arial"/>
          <w:color w:val="000000"/>
          <w:lang w:val="en-GB"/>
        </w:rPr>
        <w:t>00</w:t>
      </w:r>
      <w:r w:rsidR="00224B60" w:rsidRPr="00D66C69">
        <w:rPr>
          <w:rFonts w:ascii="Arial Narrow" w:eastAsia="Arial" w:hAnsi="Arial Narrow" w:cs="Arial"/>
          <w:color w:val="000000"/>
          <w:lang w:val="en-GB"/>
        </w:rPr>
        <w:t>–</w:t>
      </w:r>
      <w:r w:rsidRPr="00D66C69">
        <w:rPr>
          <w:rFonts w:ascii="Arial Narrow" w:eastAsia="Arial" w:hAnsi="Arial Narrow" w:cs="Arial"/>
          <w:color w:val="000000"/>
          <w:lang w:val="en-GB"/>
        </w:rPr>
        <w:t>12</w:t>
      </w:r>
      <w:r w:rsidR="00224B60" w:rsidRPr="00D66C69">
        <w:rPr>
          <w:rFonts w:ascii="Arial Narrow" w:eastAsia="Arial" w:hAnsi="Arial Narrow" w:cs="Arial"/>
          <w:color w:val="000000"/>
          <w:lang w:val="en-GB"/>
        </w:rPr>
        <w:t>:</w:t>
      </w:r>
      <w:r w:rsidRPr="00D66C69">
        <w:rPr>
          <w:rFonts w:ascii="Arial Narrow" w:eastAsia="Arial" w:hAnsi="Arial Narrow" w:cs="Arial"/>
          <w:color w:val="000000"/>
          <w:lang w:val="en-GB"/>
        </w:rPr>
        <w:t>00;</w:t>
      </w:r>
    </w:p>
    <w:p w:rsidR="006C3606" w:rsidRPr="00D66C69" w:rsidRDefault="002616D7" w:rsidP="006A00EA">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b)</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at the request of the applicant</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during a direct meeting at the Institute, organized within 14 days from the date of receipt of such a request.</w:t>
      </w:r>
    </w:p>
    <w:p w:rsidR="006C3606"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2.</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 xml:space="preserve">An oral report is documented in the form of a recording of the conversation (with the consent of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or in the form of a minutes of the conversation, reproducing its exact course.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may check, correct and approve the conversation protocol.</w:t>
      </w:r>
    </w:p>
    <w:p w:rsidR="006C3606"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3.</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The report may be:</w:t>
      </w:r>
    </w:p>
    <w:p w:rsidR="006C3606" w:rsidRPr="00D66C69" w:rsidRDefault="002616D7" w:rsidP="006A00EA">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1)</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open</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when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agrees to disclose his or her data to persons involved in clarifying the matter;</w:t>
      </w:r>
      <w:r w:rsidR="006C3606" w:rsidRPr="00D66C69">
        <w:rPr>
          <w:rFonts w:ascii="Arial Narrow" w:eastAsia="Arial" w:hAnsi="Arial Narrow" w:cs="Arial"/>
          <w:color w:val="000000"/>
          <w:lang w:val="en-GB"/>
        </w:rPr>
        <w:t xml:space="preserve"> </w:t>
      </w:r>
    </w:p>
    <w:p w:rsidR="006C3606" w:rsidRPr="00D66C69" w:rsidRDefault="002616D7" w:rsidP="006A00EA">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2)</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confidential</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when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does not agree to the disclosure of his or her data, and therefore the data is classified.</w:t>
      </w:r>
    </w:p>
    <w:p w:rsidR="006C3606"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4.</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Anonymous reports will not be considered in the manner provided for in the Regulations.</w:t>
      </w:r>
    </w:p>
    <w:p w:rsidR="006C3606"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5.</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 xml:space="preserve">The </w:t>
      </w:r>
      <w:r w:rsidR="00265B2C"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must include an explanation of the subject of the </w:t>
      </w:r>
      <w:r w:rsidR="00265B2C"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and at least the following information:</w:t>
      </w:r>
      <w:r w:rsidR="006C3606" w:rsidRPr="00D66C69">
        <w:rPr>
          <w:rFonts w:ascii="Arial Narrow" w:eastAsia="Arial" w:hAnsi="Arial Narrow" w:cs="Arial"/>
          <w:color w:val="000000"/>
          <w:lang w:val="en-GB"/>
        </w:rPr>
        <w:t xml:space="preserve"> </w:t>
      </w:r>
    </w:p>
    <w:p w:rsidR="006C3606" w:rsidRPr="00D66C69" w:rsidRDefault="002616D7" w:rsidP="006A00EA">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1)</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details of the reporting person;</w:t>
      </w:r>
    </w:p>
    <w:p w:rsidR="006C3606" w:rsidRPr="00D66C69" w:rsidRDefault="002616D7" w:rsidP="006A00EA">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2)</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date and place of the violation of law or date and place of obtaining information about the violation of law;</w:t>
      </w:r>
    </w:p>
    <w:p w:rsidR="006C3606" w:rsidRPr="00D66C69" w:rsidRDefault="002616D7" w:rsidP="006A00EA">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3)</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description of the situation or circumstances of violating the law or creating the possibility of violating the law;</w:t>
      </w:r>
    </w:p>
    <w:p w:rsidR="006C3606" w:rsidRPr="00D66C69" w:rsidRDefault="002616D7" w:rsidP="006A00EA">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4)</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 xml:space="preserve">indication of the entity to which the </w:t>
      </w:r>
      <w:r w:rsidR="00265B2C"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relates;</w:t>
      </w:r>
    </w:p>
    <w:p w:rsidR="006C3606" w:rsidRPr="00D66C69" w:rsidRDefault="002616D7" w:rsidP="006A00EA">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5)</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identification of possible witnesses of violation of the law;</w:t>
      </w:r>
    </w:p>
    <w:p w:rsidR="006C3606" w:rsidRPr="00D66C69" w:rsidRDefault="002616D7" w:rsidP="006A00EA">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6)</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providing evidence and information about violations of law;</w:t>
      </w:r>
    </w:p>
    <w:p w:rsidR="006C3606" w:rsidRPr="00D66C69" w:rsidRDefault="002616D7" w:rsidP="006A00EA">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7)</w:t>
      </w:r>
      <w:r w:rsidR="006A00EA"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indication of the preferred method of return contact;</w:t>
      </w:r>
    </w:p>
    <w:p w:rsidR="006C3606" w:rsidRPr="00D66C69" w:rsidRDefault="002616D7" w:rsidP="006A00EA">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8)</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 xml:space="preserve">confidentiality provision if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does not agree to the disclosure of his or her data. The internal reporting template is attached as Appendix 1 to the Regulations.</w:t>
      </w:r>
    </w:p>
    <w:p w:rsidR="005032F0" w:rsidRPr="00D66C69" w:rsidRDefault="002616D7" w:rsidP="005032F0">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Narrow" w:hAnsi="Arial Narrow" w:cs="Arial Narrow"/>
          <w:color w:val="000000"/>
          <w:lang w:val="en-GB"/>
        </w:rPr>
        <w:t>6.</w:t>
      </w:r>
      <w:r w:rsidR="006C3606" w:rsidRPr="00D66C69">
        <w:rPr>
          <w:rFonts w:ascii="Arial Narrow" w:eastAsia="Arial Narrow" w:hAnsi="Arial Narrow" w:cs="Arial Narrow"/>
          <w:color w:val="000000"/>
          <w:lang w:val="en-GB"/>
        </w:rPr>
        <w:t xml:space="preserve"> </w:t>
      </w:r>
      <w:r w:rsidRPr="00D66C69">
        <w:rPr>
          <w:rFonts w:ascii="Arial Narrow" w:eastAsia="Arial" w:hAnsi="Arial Narrow" w:cs="Arial"/>
          <w:color w:val="000000"/>
          <w:lang w:val="en-GB"/>
        </w:rPr>
        <w:t>The report may be additionally documented with collected evidence and a list of witnesses.</w:t>
      </w:r>
    </w:p>
    <w:p w:rsidR="005032F0" w:rsidRPr="00D66C69" w:rsidRDefault="005032F0" w:rsidP="005032F0">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5032F0">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 4</w:t>
      </w: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 xml:space="preserve">Acceptance of the </w:t>
      </w:r>
      <w:r w:rsidR="0008197F" w:rsidRPr="00D66C69">
        <w:rPr>
          <w:rFonts w:ascii="Arial Narrow" w:eastAsia="Arial" w:hAnsi="Arial Narrow" w:cs="Arial"/>
          <w:b/>
          <w:color w:val="000000"/>
          <w:lang w:val="en-GB"/>
        </w:rPr>
        <w:t>report</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w:t>
      </w:r>
      <w:r w:rsidR="0008197F" w:rsidRPr="00D66C69">
        <w:rPr>
          <w:rFonts w:ascii="Arial Narrow" w:eastAsia="Arial" w:hAnsi="Arial Narrow" w:cs="Arial"/>
          <w:color w:val="000000"/>
          <w:lang w:val="en-GB"/>
        </w:rPr>
        <w:t xml:space="preserve">Reports </w:t>
      </w:r>
      <w:r w:rsidRPr="00D66C69">
        <w:rPr>
          <w:rFonts w:ascii="Arial Narrow" w:eastAsia="Arial" w:hAnsi="Arial Narrow" w:cs="Arial"/>
          <w:color w:val="000000"/>
          <w:lang w:val="en-GB"/>
        </w:rPr>
        <w:t xml:space="preserve">are accepted and examined by the </w:t>
      </w:r>
      <w:r w:rsidR="0008197F" w:rsidRPr="00D66C69">
        <w:rPr>
          <w:rFonts w:ascii="Arial Narrow" w:eastAsia="Arial" w:hAnsi="Arial Narrow" w:cs="Arial"/>
          <w:color w:val="000000"/>
          <w:lang w:val="en-GB"/>
        </w:rPr>
        <w:t xml:space="preserve">reporting </w:t>
      </w:r>
      <w:r w:rsidRPr="00D66C69">
        <w:rPr>
          <w:rFonts w:ascii="Arial Narrow" w:eastAsia="Arial" w:hAnsi="Arial Narrow" w:cs="Arial"/>
          <w:color w:val="000000"/>
          <w:lang w:val="en-GB"/>
        </w:rPr>
        <w:t xml:space="preserve">committee (hereinafter referred to as the "Committee"), appointed by the Director of the Institute by order.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Reports should be considered in the order in which they are received, unless the gravity or nature of the violation justifies giving a given case priority.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3. Confirmation of receipt of the report is made by the Chairman of the Committee (and in his absence, another member of the Committee indicated by him), within 7 days from the date of receipt of the report, in the form indicated by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as the preferred method of return contact. The indicated deadline does not apply to situations in which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did not provide the address to which the confirmation should be sent.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4. If the report was accepted by an employee of the Institute without authorization, this employee is obliged to immediately forward the report to the Commi</w:t>
      </w:r>
      <w:r w:rsidR="00E80ABE" w:rsidRPr="00D66C69">
        <w:rPr>
          <w:rFonts w:ascii="Arial Narrow" w:eastAsia="Arial" w:hAnsi="Arial Narrow" w:cs="Arial"/>
          <w:color w:val="000000"/>
          <w:lang w:val="en-GB"/>
        </w:rPr>
        <w:t xml:space="preserve">ttee </w:t>
      </w:r>
      <w:r w:rsidRPr="00D66C69">
        <w:rPr>
          <w:rFonts w:ascii="Arial Narrow" w:eastAsia="Arial" w:hAnsi="Arial Narrow" w:cs="Arial"/>
          <w:color w:val="000000"/>
          <w:lang w:val="en-GB"/>
        </w:rPr>
        <w:t xml:space="preserve">and not to disclose information that may result in establishing the identity of persons associated with the report. </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lastRenderedPageBreak/>
        <w:t>5. Members of the Commi</w:t>
      </w:r>
      <w:r w:rsidR="0087396C" w:rsidRPr="00D66C69">
        <w:rPr>
          <w:rFonts w:ascii="Arial Narrow" w:eastAsia="Arial" w:hAnsi="Arial Narrow" w:cs="Arial"/>
          <w:color w:val="000000"/>
          <w:lang w:val="en-GB"/>
        </w:rPr>
        <w:t xml:space="preserve">ttee </w:t>
      </w:r>
      <w:r w:rsidRPr="00D66C69">
        <w:rPr>
          <w:rFonts w:ascii="Arial Narrow" w:eastAsia="Arial" w:hAnsi="Arial Narrow" w:cs="Arial"/>
          <w:color w:val="000000"/>
          <w:lang w:val="en-GB"/>
        </w:rPr>
        <w:t xml:space="preserve">who, according to the content of the report, may be involved in the </w:t>
      </w:r>
      <w:r w:rsidR="00252F0B">
        <w:rPr>
          <w:rFonts w:ascii="Arial Narrow" w:eastAsia="Arial" w:hAnsi="Arial Narrow" w:cs="Arial"/>
          <w:color w:val="000000"/>
          <w:lang w:val="en-GB"/>
        </w:rPr>
        <w:t xml:space="preserve">violation </w:t>
      </w:r>
      <w:r w:rsidRPr="00D66C69">
        <w:rPr>
          <w:rFonts w:ascii="Arial Narrow" w:eastAsia="Arial" w:hAnsi="Arial Narrow" w:cs="Arial"/>
          <w:color w:val="000000"/>
          <w:lang w:val="en-GB"/>
        </w:rPr>
        <w:t xml:space="preserve">that is the subject of the report, may not participate in the work of the Committee regarding the examination of this report. In such a case, the Director of the Institute will authorize other persons to consider the </w:t>
      </w:r>
      <w:r w:rsidR="0008197F"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 5</w:t>
      </w: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Follow-up</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The </w:t>
      </w:r>
      <w:r w:rsidR="00111113" w:rsidRPr="00D66C69">
        <w:rPr>
          <w:rFonts w:ascii="Arial Narrow" w:eastAsia="Arial" w:hAnsi="Arial Narrow" w:cs="Arial"/>
          <w:color w:val="000000"/>
          <w:lang w:val="en-GB"/>
        </w:rPr>
        <w:t>Committee</w:t>
      </w:r>
      <w:r w:rsidRPr="00D66C69">
        <w:rPr>
          <w:rFonts w:ascii="Arial Narrow" w:eastAsia="Arial" w:hAnsi="Arial Narrow" w:cs="Arial"/>
          <w:color w:val="000000"/>
          <w:lang w:val="en-GB"/>
        </w:rPr>
        <w:t xml:space="preserve"> shall follow up by: </w:t>
      </w:r>
    </w:p>
    <w:p w:rsidR="008D57EC" w:rsidRPr="00D66C69" w:rsidRDefault="002616D7" w:rsidP="00117994">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verifying reports and conducting explanatory proceedings; </w:t>
      </w:r>
    </w:p>
    <w:p w:rsidR="008D57EC" w:rsidRPr="00D66C69" w:rsidRDefault="002616D7" w:rsidP="00117994">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submitting a request to the Director of the Institute to take actions aimed at removing deficiencies or preventing violations indicated in the </w:t>
      </w:r>
      <w:r w:rsidR="00265B2C"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w:t>
      </w:r>
    </w:p>
    <w:p w:rsidR="008D57EC" w:rsidRPr="00D66C69" w:rsidRDefault="002616D7" w:rsidP="00117994">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3) providing feedback on the finding or lack of a breach and possible measures that have been or will be applied in response to the identified breach; </w:t>
      </w:r>
    </w:p>
    <w:p w:rsidR="008D57EC" w:rsidRPr="00D66C69" w:rsidRDefault="002616D7" w:rsidP="00117994">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4) fulfilment of the information obligation in the field of personal data protection regulations; </w:t>
      </w:r>
    </w:p>
    <w:p w:rsidR="008D57EC" w:rsidRPr="00D66C69" w:rsidRDefault="002616D7" w:rsidP="00117994">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5) ensuring confidentiality and impartiality during activities; </w:t>
      </w:r>
    </w:p>
    <w:p w:rsidR="008D57EC" w:rsidRPr="00D66C69" w:rsidRDefault="002616D7" w:rsidP="00117994">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6) maintaining a register of </w:t>
      </w:r>
      <w:r w:rsidR="00265B2C" w:rsidRPr="00D66C69">
        <w:rPr>
          <w:rFonts w:ascii="Arial Narrow" w:eastAsia="Arial" w:hAnsi="Arial Narrow" w:cs="Arial"/>
          <w:color w:val="000000"/>
          <w:lang w:val="en-GB"/>
        </w:rPr>
        <w:t>reports</w:t>
      </w:r>
      <w:r w:rsidRPr="00D66C69">
        <w:rPr>
          <w:rFonts w:ascii="Arial Narrow" w:eastAsia="Arial" w:hAnsi="Arial Narrow" w:cs="Arial"/>
          <w:color w:val="000000"/>
          <w:lang w:val="en-GB"/>
        </w:rPr>
        <w:t xml:space="preserve">.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As part of its follow-up activities, the </w:t>
      </w:r>
      <w:r w:rsidR="00111113" w:rsidRPr="00D66C69">
        <w:rPr>
          <w:rFonts w:ascii="Arial Narrow" w:eastAsia="Arial" w:hAnsi="Arial Narrow" w:cs="Arial"/>
          <w:color w:val="000000"/>
          <w:lang w:val="en-GB"/>
        </w:rPr>
        <w:t>Committee</w:t>
      </w:r>
      <w:r w:rsidRPr="00D66C69">
        <w:rPr>
          <w:rFonts w:ascii="Arial Narrow" w:eastAsia="Arial" w:hAnsi="Arial Narrow" w:cs="Arial"/>
          <w:color w:val="000000"/>
          <w:lang w:val="en-GB"/>
        </w:rPr>
        <w:t xml:space="preserve"> may, in particular: </w:t>
      </w:r>
    </w:p>
    <w:p w:rsidR="008D57EC" w:rsidRPr="00D66C69" w:rsidRDefault="002616D7" w:rsidP="00117994">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ask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using the contact address, for explanations or additional information that may be in his possession. </w:t>
      </w:r>
    </w:p>
    <w:p w:rsidR="008D57EC" w:rsidRPr="00D66C69" w:rsidRDefault="002616D7" w:rsidP="00117994">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summon witnesses to testify and consult with people whose knowledge will enable a comprehensive explanation of the case; </w:t>
      </w:r>
    </w:p>
    <w:p w:rsidR="008D57EC" w:rsidRPr="00D66C69" w:rsidRDefault="002616D7" w:rsidP="00117994">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3) analy</w:t>
      </w:r>
      <w:r w:rsidR="00117994">
        <w:rPr>
          <w:rFonts w:ascii="Arial Narrow" w:eastAsia="Arial" w:hAnsi="Arial Narrow" w:cs="Arial"/>
          <w:color w:val="000000"/>
          <w:lang w:val="en-GB"/>
        </w:rPr>
        <w:t>s</w:t>
      </w:r>
      <w:r w:rsidRPr="00D66C69">
        <w:rPr>
          <w:rFonts w:ascii="Arial Narrow" w:eastAsia="Arial" w:hAnsi="Arial Narrow" w:cs="Arial"/>
          <w:color w:val="000000"/>
          <w:lang w:val="en-GB"/>
        </w:rPr>
        <w:t xml:space="preserve">e the documentation necessary to recognize the report.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3. The </w:t>
      </w:r>
      <w:r w:rsidR="00111113" w:rsidRPr="00D66C69">
        <w:rPr>
          <w:rFonts w:ascii="Arial Narrow" w:eastAsia="Arial" w:hAnsi="Arial Narrow" w:cs="Arial"/>
          <w:color w:val="000000"/>
          <w:lang w:val="en-GB"/>
        </w:rPr>
        <w:t>Committee</w:t>
      </w:r>
      <w:r w:rsidRPr="00D66C69">
        <w:rPr>
          <w:rFonts w:ascii="Arial Narrow" w:eastAsia="Arial" w:hAnsi="Arial Narrow" w:cs="Arial"/>
          <w:color w:val="000000"/>
          <w:lang w:val="en-GB"/>
        </w:rPr>
        <w:t xml:space="preserve"> shall waive follow-up action where: </w:t>
      </w:r>
    </w:p>
    <w:p w:rsidR="008D57EC" w:rsidRPr="00D66C69" w:rsidRDefault="002616D7" w:rsidP="005C358B">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at the stage of verification of the report, it finds that it is clearly unfounded, false or that it is impossible to obtain the information necessary to conduct the investigation procedure; </w:t>
      </w:r>
    </w:p>
    <w:p w:rsidR="008D57EC" w:rsidRPr="00D66C69" w:rsidRDefault="002616D7" w:rsidP="005C358B">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the report concerns a matter that was already the subject of a previous report, and the re-report did not contain significant new information about the violation. </w:t>
      </w:r>
    </w:p>
    <w:p w:rsidR="008D57EC" w:rsidRPr="00D66C69" w:rsidRDefault="002616D7" w:rsidP="005C358B">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A note waiving follow-up should be included in the register. </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4. The </w:t>
      </w:r>
      <w:r w:rsidR="00111113" w:rsidRPr="00D66C69">
        <w:rPr>
          <w:rFonts w:ascii="Arial Narrow" w:eastAsia="Arial" w:hAnsi="Arial Narrow" w:cs="Arial"/>
          <w:color w:val="000000"/>
          <w:lang w:val="en-GB"/>
        </w:rPr>
        <w:t>Committee</w:t>
      </w:r>
      <w:r w:rsidRPr="00D66C69">
        <w:rPr>
          <w:rFonts w:ascii="Arial Narrow" w:eastAsia="Arial" w:hAnsi="Arial Narrow" w:cs="Arial"/>
          <w:color w:val="000000"/>
          <w:lang w:val="en-GB"/>
        </w:rPr>
        <w:t xml:space="preserve">'s decisions are taken by a simple majority of votes. In the event of an equal number of votes, the vote of the Committee Chairman prevails. </w:t>
      </w:r>
    </w:p>
    <w:p w:rsidR="008D57EC" w:rsidRPr="00D66C69" w:rsidRDefault="008D57EC"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 6</w:t>
      </w: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Feedback</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The </w:t>
      </w:r>
      <w:r w:rsidR="00111113" w:rsidRPr="00D66C69">
        <w:rPr>
          <w:rFonts w:ascii="Arial Narrow" w:eastAsia="Arial" w:hAnsi="Arial Narrow" w:cs="Arial"/>
          <w:color w:val="000000"/>
          <w:lang w:val="en-GB"/>
        </w:rPr>
        <w:t>Committee</w:t>
      </w:r>
      <w:r w:rsidRPr="00D66C69">
        <w:rPr>
          <w:rFonts w:ascii="Arial Narrow" w:eastAsia="Arial" w:hAnsi="Arial Narrow" w:cs="Arial"/>
          <w:color w:val="000000"/>
          <w:lang w:val="en-GB"/>
        </w:rPr>
        <w:t xml:space="preserve"> shall provide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with feedback within 3 months from the date of confirmation of receipt of the report, and if confirmation has not been provided</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within 3 months from the expiry of 7 days from the date of submission of the report, unless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did not provide the contact address to which </w:t>
      </w:r>
      <w:r w:rsidR="002A0319" w:rsidRPr="00D66C69">
        <w:rPr>
          <w:rFonts w:ascii="Arial Narrow" w:eastAsia="Arial" w:hAnsi="Arial Narrow" w:cs="Arial"/>
          <w:color w:val="000000"/>
          <w:lang w:val="en-GB"/>
        </w:rPr>
        <w:t xml:space="preserve">this information </w:t>
      </w:r>
      <w:r w:rsidR="00646A77">
        <w:rPr>
          <w:rFonts w:ascii="Arial Narrow" w:eastAsia="Arial" w:hAnsi="Arial Narrow" w:cs="Arial"/>
          <w:color w:val="000000"/>
          <w:lang w:val="en-GB"/>
        </w:rPr>
        <w:t>should be sent.</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The feedback includes information on whether or not a violation has been detected and any measures that have been or will be applied in response to the identified violation. </w:t>
      </w:r>
    </w:p>
    <w:p w:rsidR="008D57EC" w:rsidRPr="00D66C69" w:rsidRDefault="008D57EC"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 7</w:t>
      </w: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Personal data</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1. The administrator of personal data (hereinafter referred to as</w:t>
      </w:r>
      <w:r w:rsidR="005E5970">
        <w:rPr>
          <w:rFonts w:ascii="Arial Narrow" w:eastAsia="Arial" w:hAnsi="Arial Narrow" w:cs="Arial"/>
          <w:color w:val="000000"/>
          <w:lang w:val="en-GB"/>
        </w:rPr>
        <w:t xml:space="preserve"> the</w:t>
      </w:r>
      <w:r w:rsidRPr="00D66C69">
        <w:rPr>
          <w:rFonts w:ascii="Arial Narrow" w:eastAsia="Arial" w:hAnsi="Arial Narrow" w:cs="Arial"/>
          <w:color w:val="000000"/>
          <w:lang w:val="en-GB"/>
        </w:rPr>
        <w:t xml:space="preserve"> "Administrator") of persons submitting or assisting in submitting the </w:t>
      </w:r>
      <w:r w:rsidR="0008197F"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and the persons indicated in the content of the </w:t>
      </w:r>
      <w:r w:rsidR="0008197F"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is the Institute.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The </w:t>
      </w:r>
      <w:proofErr w:type="spellStart"/>
      <w:r w:rsidRPr="00D66C69">
        <w:rPr>
          <w:rFonts w:ascii="Arial Narrow" w:eastAsia="Arial" w:hAnsi="Arial Narrow" w:cs="Arial"/>
          <w:color w:val="000000"/>
          <w:lang w:val="en-GB"/>
        </w:rPr>
        <w:t>whistleblower's</w:t>
      </w:r>
      <w:proofErr w:type="spellEnd"/>
      <w:r w:rsidRPr="00D66C69">
        <w:rPr>
          <w:rFonts w:ascii="Arial Narrow" w:eastAsia="Arial" w:hAnsi="Arial Narrow" w:cs="Arial"/>
          <w:color w:val="000000"/>
          <w:lang w:val="en-GB"/>
        </w:rPr>
        <w:t xml:space="preserve"> personal data and other data enabling his</w:t>
      </w:r>
      <w:r w:rsidR="000407C2">
        <w:rPr>
          <w:rFonts w:ascii="Arial Narrow" w:eastAsia="Arial" w:hAnsi="Arial Narrow" w:cs="Arial"/>
          <w:color w:val="000000"/>
          <w:lang w:val="en-GB"/>
        </w:rPr>
        <w:t xml:space="preserve"> or </w:t>
      </w:r>
      <w:r w:rsidRPr="00D66C69">
        <w:rPr>
          <w:rFonts w:ascii="Arial Narrow" w:eastAsia="Arial" w:hAnsi="Arial Narrow" w:cs="Arial"/>
          <w:color w:val="000000"/>
          <w:lang w:val="en-GB"/>
        </w:rPr>
        <w:t xml:space="preserve">her identity to be determined shall not be disclosed, unless with the express consent of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3. The provisions of section 2 shall not apply where disclosure is a necessary and proportionate obligation arising from legal provisions in connection with explanatory proceedings conducted by public authorities or preparatory or judicial proceedings conducted by courts, including in order to guarantee the rights of defen</w:t>
      </w:r>
      <w:r w:rsidR="00CA5685">
        <w:rPr>
          <w:rFonts w:ascii="Arial Narrow" w:eastAsia="Arial" w:hAnsi="Arial Narrow" w:cs="Arial"/>
          <w:color w:val="000000"/>
          <w:lang w:val="en-GB"/>
        </w:rPr>
        <w:t>c</w:t>
      </w:r>
      <w:r w:rsidRPr="00D66C69">
        <w:rPr>
          <w:rFonts w:ascii="Arial Narrow" w:eastAsia="Arial" w:hAnsi="Arial Narrow" w:cs="Arial"/>
          <w:color w:val="000000"/>
          <w:lang w:val="en-GB"/>
        </w:rPr>
        <w:t>e of the pe</w:t>
      </w:r>
      <w:r w:rsidR="00B9192F">
        <w:rPr>
          <w:rFonts w:ascii="Arial Narrow" w:eastAsia="Arial" w:hAnsi="Arial Narrow" w:cs="Arial"/>
          <w:color w:val="000000"/>
          <w:lang w:val="en-GB"/>
        </w:rPr>
        <w:t>rson concerned by the report.</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4. In order to verify the </w:t>
      </w:r>
      <w:r w:rsidR="00265B2C"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the </w:t>
      </w:r>
      <w:r w:rsidR="00111113" w:rsidRPr="00D66C69">
        <w:rPr>
          <w:rFonts w:ascii="Arial Narrow" w:eastAsia="Arial" w:hAnsi="Arial Narrow" w:cs="Arial"/>
          <w:color w:val="000000"/>
          <w:lang w:val="en-GB"/>
        </w:rPr>
        <w:t>Committee</w:t>
      </w:r>
      <w:r w:rsidRPr="00D66C69">
        <w:rPr>
          <w:rFonts w:ascii="Arial Narrow" w:eastAsia="Arial" w:hAnsi="Arial Narrow" w:cs="Arial"/>
          <w:color w:val="000000"/>
          <w:lang w:val="en-GB"/>
        </w:rPr>
        <w:t xml:space="preserve"> may collect and process personal data of the person concerned, even without his or her consent.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lastRenderedPageBreak/>
        <w:t xml:space="preserve">5. The Administrator stores personal data contained in the submitted </w:t>
      </w:r>
      <w:r w:rsidR="00265B2C"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for the period of the explanatory proceedings, and after its completion for the time necessary to remove the consequences of identified irregularities and hold accountable persons involved in the identified activities, if required by the provisions of generally applicable law, but no less than 3 years from the date of submission of the </w:t>
      </w:r>
      <w:r w:rsidR="0008197F"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6. The </w:t>
      </w:r>
      <w:r w:rsidR="00C85E41">
        <w:rPr>
          <w:rFonts w:ascii="Arial Narrow" w:eastAsia="Arial" w:hAnsi="Arial Narrow" w:cs="Arial"/>
          <w:color w:val="000000"/>
          <w:lang w:val="en-GB"/>
        </w:rPr>
        <w:t>A</w:t>
      </w:r>
      <w:r w:rsidRPr="00D66C69">
        <w:rPr>
          <w:rFonts w:ascii="Arial Narrow" w:eastAsia="Arial" w:hAnsi="Arial Narrow" w:cs="Arial"/>
          <w:color w:val="000000"/>
          <w:lang w:val="en-GB"/>
        </w:rPr>
        <w:t xml:space="preserve">dministrator processes personal data to the extent necessary to accept the </w:t>
      </w:r>
      <w:r w:rsidR="00265B2C"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or take any follow-up action. Personal data that is not relevant to the processing of the </w:t>
      </w:r>
      <w:r w:rsidR="0008197F"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is not collected, and in the event of accidental collection, it is immediately deleted. These personal data are deleted within 14 days from the moment it is determined that they are not relevant to the case.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7. To process personal data of persons referred to in section 1, only persons with written authorization from the Director of the Institute may be admitted. Authorized persons are obliged to maintain confidentiality regarding information and personal data obtained as part of receiving and verifying reports and taking follow-up actions, also after the termination of the employment relationship or other legal relationship under which they performed this work. The authorization template is attached as Annex 2 to the ord</w:t>
      </w:r>
      <w:r w:rsidR="00B9192F">
        <w:rPr>
          <w:rFonts w:ascii="Arial Narrow" w:eastAsia="Arial" w:hAnsi="Arial Narrow" w:cs="Arial"/>
          <w:color w:val="000000"/>
          <w:lang w:val="en-GB"/>
        </w:rPr>
        <w:t>er</w:t>
      </w:r>
      <w:r w:rsidRPr="00D66C69">
        <w:rPr>
          <w:rFonts w:ascii="Arial Narrow" w:eastAsia="Arial" w:hAnsi="Arial Narrow" w:cs="Arial"/>
          <w:color w:val="000000"/>
          <w:lang w:val="en-GB"/>
        </w:rPr>
        <w:t xml:space="preserve">. </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8. The template of the information clause regarding the provisions on the protection of personal data is s</w:t>
      </w:r>
      <w:r w:rsidR="000B0FF3">
        <w:rPr>
          <w:rFonts w:ascii="Arial Narrow" w:eastAsia="Arial" w:hAnsi="Arial Narrow" w:cs="Arial"/>
          <w:color w:val="000000"/>
          <w:lang w:val="en-GB"/>
        </w:rPr>
        <w:t>et out in Annex 3 to the order.</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 8</w:t>
      </w: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Anti-retaliation protection</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is protected against possible retaliatory actions, provided that he or she had reasonable grounds to believe that the information about a violation of the law that was the subject of the report was true at the time of reporting and that the information constituted information about a violation of the law or internal regulations. The person who helps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in making the report also benefits from protection.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Using the procedure to report false information in bad faith, in particular with the aim of harming another person or entity, is unacceptable and is not protected. </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3. Persons referred to in section 1 are protected only to the extent of the submitted </w:t>
      </w:r>
      <w:r w:rsidR="0008197F" w:rsidRPr="00D66C69">
        <w:rPr>
          <w:rFonts w:ascii="Arial Narrow" w:eastAsia="Arial" w:hAnsi="Arial Narrow" w:cs="Arial"/>
          <w:color w:val="000000"/>
          <w:lang w:val="en-GB"/>
        </w:rPr>
        <w:t>reports</w:t>
      </w:r>
      <w:r w:rsidRPr="00D66C69">
        <w:rPr>
          <w:rFonts w:ascii="Arial Narrow" w:eastAsia="Arial" w:hAnsi="Arial Narrow" w:cs="Arial"/>
          <w:color w:val="000000"/>
          <w:lang w:val="en-GB"/>
        </w:rPr>
        <w:t xml:space="preserve">. </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4. Until the explanatory proceedings are completed, the necessary protection measures also apply to persons against whom the report was made. </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 9</w:t>
      </w: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Report register</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The </w:t>
      </w:r>
      <w:r w:rsidR="00111113" w:rsidRPr="00D66C69">
        <w:rPr>
          <w:rFonts w:ascii="Arial Narrow" w:eastAsia="Arial" w:hAnsi="Arial Narrow" w:cs="Arial"/>
          <w:color w:val="000000"/>
          <w:lang w:val="en-GB"/>
        </w:rPr>
        <w:t>Committee</w:t>
      </w:r>
      <w:r w:rsidRPr="00D66C69">
        <w:rPr>
          <w:rFonts w:ascii="Arial Narrow" w:eastAsia="Arial" w:hAnsi="Arial Narrow" w:cs="Arial"/>
          <w:color w:val="000000"/>
          <w:lang w:val="en-GB"/>
        </w:rPr>
        <w:t xml:space="preserve"> keeps a register of </w:t>
      </w:r>
      <w:r w:rsidR="00265B2C" w:rsidRPr="00D66C69">
        <w:rPr>
          <w:rFonts w:ascii="Arial Narrow" w:eastAsia="Arial" w:hAnsi="Arial Narrow" w:cs="Arial"/>
          <w:color w:val="000000"/>
          <w:lang w:val="en-GB"/>
        </w:rPr>
        <w:t>reports</w:t>
      </w:r>
      <w:r w:rsidRPr="00D66C69">
        <w:rPr>
          <w:rFonts w:ascii="Arial Narrow" w:eastAsia="Arial" w:hAnsi="Arial Narrow" w:cs="Arial"/>
          <w:color w:val="000000"/>
          <w:lang w:val="en-GB"/>
        </w:rPr>
        <w:t xml:space="preserve"> in accordance with the template set out in Annex 4 to the Regulations. Entry into the register is made on the basis of a </w:t>
      </w:r>
      <w:r w:rsidR="00265B2C"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The register of </w:t>
      </w:r>
      <w:r w:rsidR="00265B2C" w:rsidRPr="00D66C69">
        <w:rPr>
          <w:rFonts w:ascii="Arial Narrow" w:eastAsia="Arial" w:hAnsi="Arial Narrow" w:cs="Arial"/>
          <w:color w:val="000000"/>
          <w:lang w:val="en-GB"/>
        </w:rPr>
        <w:t>reports</w:t>
      </w:r>
      <w:r w:rsidRPr="00D66C69">
        <w:rPr>
          <w:rFonts w:ascii="Arial Narrow" w:eastAsia="Arial" w:hAnsi="Arial Narrow" w:cs="Arial"/>
          <w:color w:val="000000"/>
          <w:lang w:val="en-GB"/>
        </w:rPr>
        <w:t xml:space="preserve"> includes: </w:t>
      </w:r>
    </w:p>
    <w:p w:rsidR="008D57EC" w:rsidRPr="00D66C69" w:rsidRDefault="002616D7" w:rsidP="004304B0">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w:t>
      </w:r>
      <w:r w:rsidR="0008197F"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number; </w:t>
      </w:r>
    </w:p>
    <w:p w:rsidR="008D57EC" w:rsidRPr="00D66C69" w:rsidRDefault="002616D7" w:rsidP="004304B0">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the subject of the violation; </w:t>
      </w:r>
    </w:p>
    <w:p w:rsidR="008D57EC" w:rsidRPr="00D66C69" w:rsidRDefault="002616D7" w:rsidP="004304B0">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3) personal data of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and the person concerned by the report, necessary to identify these persons; </w:t>
      </w:r>
    </w:p>
    <w:p w:rsidR="008D57EC" w:rsidRPr="00D66C69" w:rsidRDefault="002616D7" w:rsidP="004304B0">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4) contact address of the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w:t>
      </w:r>
    </w:p>
    <w:p w:rsidR="008D57EC" w:rsidRPr="00D66C69" w:rsidRDefault="002616D7" w:rsidP="004304B0">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5) date of submission of the </w:t>
      </w:r>
      <w:r w:rsidR="0008197F"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(receipt of the </w:t>
      </w:r>
      <w:r w:rsidR="0008197F"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w:t>
      </w:r>
    </w:p>
    <w:p w:rsidR="008D57EC" w:rsidRPr="00D66C69" w:rsidRDefault="002616D7" w:rsidP="004304B0">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6) information on follow-up actions taken; </w:t>
      </w:r>
    </w:p>
    <w:p w:rsidR="008D57EC" w:rsidRPr="00D66C69" w:rsidRDefault="002616D7" w:rsidP="004304B0">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7) date of completion of the case (providing feedback). </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3. Personal data and other information in the </w:t>
      </w:r>
      <w:r w:rsidR="00265B2C"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register are stored for a period of 3 years after the end of the calendar year in which follow-up activities were completed or after the completion of proceedings initiated by these activities. </w:t>
      </w:r>
    </w:p>
    <w:p w:rsidR="008D57EC" w:rsidRPr="00D66C69" w:rsidRDefault="008D57EC"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 10</w:t>
      </w: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External reporting</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A </w:t>
      </w:r>
      <w:proofErr w:type="spellStart"/>
      <w:r w:rsidRPr="00D66C69">
        <w:rPr>
          <w:rFonts w:ascii="Arial Narrow" w:eastAsia="Arial" w:hAnsi="Arial Narrow" w:cs="Arial"/>
          <w:color w:val="000000"/>
          <w:lang w:val="en-GB"/>
        </w:rPr>
        <w:t>whistleblower</w:t>
      </w:r>
      <w:proofErr w:type="spellEnd"/>
      <w:r w:rsidRPr="00D66C69">
        <w:rPr>
          <w:rFonts w:ascii="Arial Narrow" w:eastAsia="Arial" w:hAnsi="Arial Narrow" w:cs="Arial"/>
          <w:color w:val="000000"/>
          <w:lang w:val="en-GB"/>
        </w:rPr>
        <w:t xml:space="preserve"> may make an external report without first making an internal report.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An external report is accepted by the </w:t>
      </w:r>
      <w:r w:rsidR="005032F0" w:rsidRPr="00D66C69">
        <w:rPr>
          <w:rFonts w:ascii="Arial Narrow" w:eastAsia="Arial" w:hAnsi="Arial Narrow" w:cs="Arial"/>
          <w:color w:val="000000"/>
          <w:lang w:val="en-GB"/>
        </w:rPr>
        <w:t xml:space="preserve">Commissioner for Human Rights </w:t>
      </w:r>
      <w:r w:rsidRPr="00D66C69">
        <w:rPr>
          <w:rFonts w:ascii="Arial Narrow" w:eastAsia="Arial" w:hAnsi="Arial Narrow" w:cs="Arial"/>
          <w:color w:val="000000"/>
          <w:lang w:val="en-GB"/>
        </w:rPr>
        <w:t xml:space="preserve">or a public authority, in accordance with the provisions of the Act of </w:t>
      </w:r>
      <w:r w:rsidR="006F1028">
        <w:rPr>
          <w:rFonts w:ascii="Arial Narrow" w:eastAsia="Arial" w:hAnsi="Arial Narrow" w:cs="Arial"/>
          <w:color w:val="000000"/>
          <w:lang w:val="en-GB"/>
        </w:rPr>
        <w:t xml:space="preserve">14 </w:t>
      </w:r>
      <w:r w:rsidRPr="00D66C69">
        <w:rPr>
          <w:rFonts w:ascii="Arial Narrow" w:eastAsia="Arial" w:hAnsi="Arial Narrow" w:cs="Arial"/>
          <w:color w:val="000000"/>
          <w:lang w:val="en-GB"/>
        </w:rPr>
        <w:t xml:space="preserve">June 2024 on </w:t>
      </w:r>
      <w:proofErr w:type="spellStart"/>
      <w:r w:rsidRPr="00D66C69">
        <w:rPr>
          <w:rFonts w:ascii="Arial Narrow" w:eastAsia="Arial" w:hAnsi="Arial Narrow" w:cs="Arial"/>
          <w:color w:val="000000"/>
          <w:lang w:val="en-GB"/>
        </w:rPr>
        <w:t>whistleblowers</w:t>
      </w:r>
      <w:proofErr w:type="spellEnd"/>
      <w:r w:rsidRPr="00D66C69">
        <w:rPr>
          <w:rFonts w:ascii="Arial Narrow" w:eastAsia="Arial" w:hAnsi="Arial Narrow" w:cs="Arial"/>
          <w:color w:val="000000"/>
          <w:lang w:val="en-GB"/>
        </w:rPr>
        <w:t xml:space="preserve">. </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3. The </w:t>
      </w:r>
      <w:r w:rsidR="005032F0" w:rsidRPr="00D66C69">
        <w:rPr>
          <w:rFonts w:ascii="Arial Narrow" w:eastAsia="Arial" w:hAnsi="Arial Narrow" w:cs="Arial"/>
          <w:color w:val="000000"/>
          <w:lang w:val="en-GB"/>
        </w:rPr>
        <w:t xml:space="preserve">Commissioner for Human Rights </w:t>
      </w:r>
      <w:r w:rsidRPr="00D66C69">
        <w:rPr>
          <w:rFonts w:ascii="Arial Narrow" w:eastAsia="Arial" w:hAnsi="Arial Narrow" w:cs="Arial"/>
          <w:color w:val="000000"/>
          <w:lang w:val="en-GB"/>
        </w:rPr>
        <w:t xml:space="preserve">and the public authority are separate controllers with respect to personal data provided in the external </w:t>
      </w:r>
      <w:r w:rsidR="00265B2C"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that was accepted by these authorities. </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 11</w:t>
      </w: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Final provisions</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In matters not regulated by the Regulations, the provisions of the Act of 14 June 2024 on </w:t>
      </w:r>
      <w:proofErr w:type="spellStart"/>
      <w:r w:rsidRPr="00D66C69">
        <w:rPr>
          <w:rFonts w:ascii="Arial Narrow" w:eastAsia="Arial" w:hAnsi="Arial Narrow" w:cs="Arial"/>
          <w:color w:val="000000"/>
          <w:lang w:val="en-GB"/>
        </w:rPr>
        <w:t>whistleblowers</w:t>
      </w:r>
      <w:proofErr w:type="spellEnd"/>
      <w:r w:rsidRPr="00D66C69">
        <w:rPr>
          <w:rFonts w:ascii="Arial Narrow" w:eastAsia="Arial" w:hAnsi="Arial Narrow" w:cs="Arial"/>
          <w:color w:val="000000"/>
          <w:lang w:val="en-GB"/>
        </w:rPr>
        <w:t xml:space="preserve"> and the Regulation (EU) 2016/679 of the European Parliament and of the Council of 27 April 2016 on the protection of natural persons with regard to the processing of personal data and on </w:t>
      </w:r>
      <w:r w:rsidR="00C31322" w:rsidRPr="00791DC5">
        <w:rPr>
          <w:rFonts w:ascii="Arial Narrow" w:hAnsi="Arial Narrow"/>
          <w:lang w:val="en-US"/>
        </w:rPr>
        <w:t>the free movement of such data</w:t>
      </w:r>
      <w:r w:rsidR="00BE5A0A">
        <w:rPr>
          <w:rFonts w:ascii="Arial Narrow" w:hAnsi="Arial Narrow"/>
          <w:lang w:val="en-US"/>
        </w:rPr>
        <w:t>,</w:t>
      </w:r>
      <w:r w:rsidR="00C31322" w:rsidRPr="00791DC5">
        <w:rPr>
          <w:rFonts w:ascii="Arial Narrow" w:hAnsi="Arial Narrow"/>
          <w:lang w:val="en-US"/>
        </w:rPr>
        <w:t xml:space="preserve"> </w:t>
      </w:r>
      <w:r w:rsidRPr="00D66C69">
        <w:rPr>
          <w:rFonts w:ascii="Arial Narrow" w:eastAsia="Arial" w:hAnsi="Arial Narrow" w:cs="Arial"/>
          <w:color w:val="000000"/>
          <w:lang w:val="en-GB"/>
        </w:rPr>
        <w:t>and repealing Directive 95/46/EC (General Data Protection Regulation)</w:t>
      </w:r>
      <w:r w:rsidR="00637082">
        <w:rPr>
          <w:rFonts w:ascii="Arial Narrow" w:eastAsia="Arial" w:hAnsi="Arial Narrow" w:cs="Arial"/>
          <w:color w:val="000000"/>
          <w:lang w:val="en-GB"/>
        </w:rPr>
        <w:t xml:space="preserve"> shall apply</w:t>
      </w:r>
      <w:r w:rsidRPr="00D66C69">
        <w:rPr>
          <w:rFonts w:ascii="Arial Narrow" w:eastAsia="Arial" w:hAnsi="Arial Narrow" w:cs="Arial"/>
          <w:color w:val="000000"/>
          <w:lang w:val="en-GB"/>
        </w:rPr>
        <w:t xml:space="preserve">. </w:t>
      </w:r>
    </w:p>
    <w:p w:rsidR="008D57EC" w:rsidRPr="00D66C69" w:rsidRDefault="002616D7" w:rsidP="000C2D2A">
      <w:pPr>
        <w:jc w:val="both"/>
        <w:rPr>
          <w:rFonts w:ascii="Arial Narrow" w:eastAsia="Arial" w:hAnsi="Arial Narrow" w:cs="Arial"/>
          <w:color w:val="000000"/>
          <w:lang w:val="en-GB"/>
        </w:rPr>
      </w:pPr>
      <w:r w:rsidRPr="00D66C69">
        <w:rPr>
          <w:rFonts w:ascii="Arial Narrow" w:hAnsi="Arial Narrow"/>
          <w:lang w:val="en-GB"/>
        </w:rPr>
        <w:br w:type="page"/>
      </w:r>
    </w:p>
    <w:p w:rsidR="008D57EC" w:rsidRPr="00D66C69" w:rsidRDefault="002616D7" w:rsidP="000C2D2A">
      <w:pPr>
        <w:pageBreakBefore/>
        <w:pBdr>
          <w:top w:val="nil"/>
          <w:left w:val="nil"/>
          <w:bottom w:val="nil"/>
          <w:right w:val="nil"/>
          <w:between w:val="nil"/>
        </w:pBdr>
        <w:spacing w:after="0" w:line="240" w:lineRule="auto"/>
        <w:jc w:val="right"/>
        <w:rPr>
          <w:rFonts w:ascii="Arial Narrow" w:eastAsia="Arial" w:hAnsi="Arial Narrow" w:cs="Arial"/>
          <w:color w:val="000000"/>
          <w:sz w:val="20"/>
          <w:szCs w:val="20"/>
          <w:lang w:val="en-GB"/>
        </w:rPr>
      </w:pPr>
      <w:r w:rsidRPr="00D66C69">
        <w:rPr>
          <w:rFonts w:ascii="Arial Narrow" w:eastAsia="Arial" w:hAnsi="Arial Narrow" w:cs="Arial"/>
          <w:color w:val="000000"/>
          <w:sz w:val="20"/>
          <w:szCs w:val="20"/>
          <w:lang w:val="en-GB"/>
        </w:rPr>
        <w:lastRenderedPageBreak/>
        <w:t xml:space="preserve">Annex 1 to the Regulations </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b/>
          <w:color w:val="000000"/>
          <w:lang w:val="en-GB"/>
        </w:rPr>
      </w:pPr>
    </w:p>
    <w:p w:rsidR="002D3D1C" w:rsidRDefault="002D3D1C" w:rsidP="000C2D2A">
      <w:pPr>
        <w:pBdr>
          <w:top w:val="nil"/>
          <w:left w:val="nil"/>
          <w:bottom w:val="nil"/>
          <w:right w:val="nil"/>
          <w:between w:val="nil"/>
        </w:pBdr>
        <w:spacing w:after="0" w:line="240" w:lineRule="auto"/>
        <w:jc w:val="center"/>
        <w:rPr>
          <w:rFonts w:ascii="Arial Narrow" w:eastAsia="Arial" w:hAnsi="Arial Narrow" w:cs="Arial"/>
          <w:b/>
          <w:color w:val="000000"/>
          <w:lang w:val="en-GB"/>
        </w:rPr>
      </w:pPr>
    </w:p>
    <w:p w:rsidR="000C2D2A" w:rsidRPr="00D66C69" w:rsidRDefault="002616D7" w:rsidP="000C2D2A">
      <w:pPr>
        <w:pBdr>
          <w:top w:val="nil"/>
          <w:left w:val="nil"/>
          <w:bottom w:val="nil"/>
          <w:right w:val="nil"/>
          <w:between w:val="nil"/>
        </w:pBdr>
        <w:spacing w:after="0" w:line="240" w:lineRule="auto"/>
        <w:jc w:val="center"/>
        <w:rPr>
          <w:rFonts w:ascii="Arial Narrow" w:eastAsia="Arial" w:hAnsi="Arial Narrow" w:cs="Arial"/>
          <w:b/>
          <w:color w:val="000000"/>
          <w:lang w:val="en-GB"/>
        </w:rPr>
      </w:pPr>
      <w:r w:rsidRPr="00D66C69">
        <w:rPr>
          <w:rFonts w:ascii="Arial Narrow" w:eastAsia="Arial" w:hAnsi="Arial Narrow" w:cs="Arial"/>
          <w:b/>
          <w:color w:val="000000"/>
          <w:lang w:val="en-GB"/>
        </w:rPr>
        <w:t xml:space="preserve">Internal </w:t>
      </w:r>
      <w:r w:rsidR="00265B2C" w:rsidRPr="00D66C69">
        <w:rPr>
          <w:rFonts w:ascii="Arial Narrow" w:eastAsia="Arial" w:hAnsi="Arial Narrow" w:cs="Arial"/>
          <w:b/>
          <w:color w:val="000000"/>
          <w:lang w:val="en-GB"/>
        </w:rPr>
        <w:t>report</w:t>
      </w:r>
      <w:r w:rsidRPr="00D66C69">
        <w:rPr>
          <w:rFonts w:ascii="Arial Narrow" w:eastAsia="Arial" w:hAnsi="Arial Narrow" w:cs="Arial"/>
          <w:b/>
          <w:color w:val="000000"/>
          <w:lang w:val="en-GB"/>
        </w:rPr>
        <w:t xml:space="preserve"> template</w:t>
      </w: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b/>
          <w:color w:val="000000"/>
          <w:lang w:val="en-GB"/>
        </w:rPr>
      </w:pPr>
      <w:r w:rsidRPr="00D66C69">
        <w:rPr>
          <w:rFonts w:ascii="Arial Narrow" w:eastAsia="Arial" w:hAnsi="Arial Narrow" w:cs="Arial"/>
          <w:b/>
          <w:color w:val="000000"/>
          <w:lang w:val="en-GB"/>
        </w:rPr>
        <w:t xml:space="preserve">at the </w:t>
      </w:r>
      <w:r w:rsidR="000C2D2A" w:rsidRPr="00D66C69">
        <w:rPr>
          <w:rFonts w:ascii="Arial Narrow" w:eastAsia="Arial" w:hAnsi="Arial Narrow" w:cs="Arial"/>
          <w:b/>
          <w:color w:val="000000"/>
          <w:lang w:val="en-GB"/>
        </w:rPr>
        <w:t>National Research Institute of Animal Production</w:t>
      </w:r>
    </w:p>
    <w:p w:rsidR="008D57EC" w:rsidRDefault="008D57EC"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2D3D1C" w:rsidRPr="00D66C69" w:rsidRDefault="002D3D1C"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I. </w:t>
      </w:r>
      <w:r w:rsidRPr="00D66C69">
        <w:rPr>
          <w:rFonts w:ascii="Arial Narrow" w:eastAsia="Arial" w:hAnsi="Arial Narrow" w:cs="Arial"/>
          <w:color w:val="000000"/>
          <w:u w:val="single"/>
          <w:lang w:val="en-GB"/>
        </w:rPr>
        <w:t>Date of preparation</w:t>
      </w:r>
      <w:r w:rsidRPr="00D66C69">
        <w:rPr>
          <w:rFonts w:ascii="Arial Narrow" w:eastAsia="Arial" w:hAnsi="Arial Narrow" w:cs="Arial"/>
          <w:color w:val="000000"/>
          <w:lang w:val="en-GB"/>
        </w:rPr>
        <w:t xml:space="preserve">: ……………………………………………………………………………………………….. </w:t>
      </w:r>
    </w:p>
    <w:p w:rsidR="00B95BA0" w:rsidRDefault="00B95BA0"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II. </w:t>
      </w:r>
      <w:r w:rsidRPr="00D66C69">
        <w:rPr>
          <w:rFonts w:ascii="Arial Narrow" w:eastAsia="Arial" w:hAnsi="Arial Narrow" w:cs="Arial"/>
          <w:color w:val="000000"/>
          <w:u w:val="single"/>
          <w:lang w:val="en-GB"/>
        </w:rPr>
        <w:t>Reporting person's details</w:t>
      </w:r>
      <w:r w:rsidRPr="00D66C69">
        <w:rPr>
          <w:rFonts w:ascii="Arial Narrow" w:eastAsia="Arial" w:hAnsi="Arial Narrow" w:cs="Arial"/>
          <w:color w:val="000000"/>
          <w:lang w:val="en-GB"/>
        </w:rPr>
        <w:t xml:space="preserve">: </w:t>
      </w:r>
    </w:p>
    <w:p w:rsidR="008D57EC" w:rsidRPr="00D66C69" w:rsidRDefault="002616D7" w:rsidP="00B95BA0">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name and surname: …………………………………………………………………………………………. </w:t>
      </w:r>
    </w:p>
    <w:p w:rsidR="008D57EC" w:rsidRPr="00D66C69" w:rsidRDefault="002616D7" w:rsidP="00B95BA0">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method of return contact: …………………………………………………………………………. </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sz w:val="18"/>
          <w:szCs w:val="18"/>
          <w:lang w:val="en-GB"/>
        </w:rPr>
      </w:pPr>
      <w:r w:rsidRPr="00D66C69">
        <w:rPr>
          <w:rFonts w:ascii="Arial Narrow" w:eastAsia="Arial" w:hAnsi="Arial Narrow" w:cs="Arial"/>
          <w:color w:val="000000"/>
          <w:lang w:val="en-GB"/>
        </w:rPr>
        <w:t xml:space="preserve">I agree* / I do not agree* to the disclosure of my data to persons involved in clarifying the report. </w:t>
      </w:r>
      <w:r w:rsidRPr="00D66C69">
        <w:rPr>
          <w:rFonts w:ascii="Arial Narrow" w:eastAsia="Arial" w:hAnsi="Arial Narrow" w:cs="Arial"/>
          <w:i/>
          <w:color w:val="000000"/>
          <w:sz w:val="18"/>
          <w:szCs w:val="18"/>
          <w:lang w:val="en-GB"/>
        </w:rPr>
        <w:t xml:space="preserve">(*delete as appropriate) </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III. </w:t>
      </w:r>
      <w:r w:rsidRPr="00D66C69">
        <w:rPr>
          <w:rFonts w:ascii="Arial Narrow" w:eastAsia="Arial" w:hAnsi="Arial Narrow" w:cs="Arial"/>
          <w:color w:val="000000"/>
          <w:u w:val="single"/>
          <w:lang w:val="en-GB"/>
        </w:rPr>
        <w:t>Report content</w:t>
      </w:r>
      <w:r w:rsidRPr="00D66C69">
        <w:rPr>
          <w:rFonts w:ascii="Arial Narrow" w:eastAsia="Arial" w:hAnsi="Arial Narrow" w:cs="Arial"/>
          <w:color w:val="000000"/>
          <w:lang w:val="en-GB"/>
        </w:rPr>
        <w:t xml:space="preserve">: </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sz w:val="18"/>
          <w:szCs w:val="18"/>
          <w:lang w:val="en-GB"/>
        </w:rPr>
      </w:pPr>
      <w:r w:rsidRPr="00D66C69">
        <w:rPr>
          <w:rFonts w:ascii="Arial Narrow" w:eastAsia="Arial" w:hAnsi="Arial Narrow" w:cs="Arial"/>
          <w:i/>
          <w:color w:val="000000"/>
          <w:sz w:val="18"/>
          <w:szCs w:val="18"/>
          <w:lang w:val="en-GB"/>
        </w:rPr>
        <w:t xml:space="preserve">(Describe in detail your suspicions and the circumstances of their occurrence in accordance with the knowledge you have. Provide details of the persons who committed the violation. Provide details of persons who may have become victims of the violation. Indicate the dates and place of the irregularities or the date and place of obtaining information about the violations. Indicate what effects the violations you described have caused or may cause.) </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 </w:t>
      </w:r>
    </w:p>
    <w:p w:rsidR="00B95BA0" w:rsidRDefault="00B95BA0"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IV. </w:t>
      </w:r>
      <w:r w:rsidRPr="00D66C69">
        <w:rPr>
          <w:rFonts w:ascii="Arial Narrow" w:eastAsia="Arial" w:hAnsi="Arial Narrow" w:cs="Arial"/>
          <w:color w:val="000000"/>
          <w:u w:val="single"/>
          <w:lang w:val="en-GB"/>
        </w:rPr>
        <w:t>Optional</w:t>
      </w:r>
      <w:r w:rsidR="00BA4C7E" w:rsidRPr="00D66C69">
        <w:rPr>
          <w:rFonts w:ascii="Arial Narrow" w:eastAsia="Arial" w:hAnsi="Arial Narrow" w:cs="Arial"/>
          <w:color w:val="000000"/>
          <w:u w:val="single"/>
          <w:lang w:val="en-GB"/>
        </w:rPr>
        <w:t xml:space="preserve"> – </w:t>
      </w:r>
      <w:r w:rsidRPr="00D66C69">
        <w:rPr>
          <w:rFonts w:ascii="Arial Narrow" w:eastAsia="Arial" w:hAnsi="Arial Narrow" w:cs="Arial"/>
          <w:color w:val="000000"/>
          <w:u w:val="single"/>
          <w:lang w:val="en-GB"/>
        </w:rPr>
        <w:t>evidence and witnesses</w:t>
      </w:r>
      <w:r w:rsidRPr="00D66C69">
        <w:rPr>
          <w:rFonts w:ascii="Arial Narrow" w:eastAsia="Arial" w:hAnsi="Arial Narrow" w:cs="Arial"/>
          <w:color w:val="000000"/>
          <w:lang w:val="en-GB"/>
        </w:rPr>
        <w:t xml:space="preserve">: </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sz w:val="18"/>
          <w:szCs w:val="18"/>
          <w:lang w:val="en-GB"/>
        </w:rPr>
      </w:pPr>
      <w:r w:rsidRPr="00D66C69">
        <w:rPr>
          <w:rFonts w:ascii="Arial Narrow" w:eastAsia="Arial" w:hAnsi="Arial Narrow" w:cs="Arial"/>
          <w:i/>
          <w:color w:val="000000"/>
          <w:sz w:val="18"/>
          <w:szCs w:val="18"/>
          <w:lang w:val="en-GB"/>
        </w:rPr>
        <w:t xml:space="preserve">(Indicate and attach any evidence you have confirming the described condition and indicate any witnesses.) </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 </w:t>
      </w:r>
    </w:p>
    <w:p w:rsidR="00B95BA0" w:rsidRDefault="00B95BA0"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V. </w:t>
      </w:r>
      <w:r w:rsidRPr="00D66C69">
        <w:rPr>
          <w:rFonts w:ascii="Arial Narrow" w:eastAsia="Arial" w:hAnsi="Arial Narrow" w:cs="Arial"/>
          <w:color w:val="000000"/>
          <w:u w:val="single"/>
          <w:lang w:val="en-GB"/>
        </w:rPr>
        <w:t>Declaration of the person submitting the report</w:t>
      </w:r>
      <w:r w:rsidRPr="00D66C69">
        <w:rPr>
          <w:rFonts w:ascii="Arial Narrow" w:eastAsia="Arial" w:hAnsi="Arial Narrow" w:cs="Arial"/>
          <w:color w:val="000000"/>
          <w:lang w:val="en-GB"/>
        </w:rPr>
        <w:t xml:space="preserve">: </w:t>
      </w:r>
    </w:p>
    <w:p w:rsidR="00B95BA0" w:rsidRDefault="00B95BA0"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I declare that by submitting this </w:t>
      </w:r>
      <w:r w:rsidR="00265B2C"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w:t>
      </w:r>
    </w:p>
    <w:p w:rsidR="008D57EC" w:rsidRPr="00D66C69" w:rsidRDefault="002616D7" w:rsidP="00B95BA0">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I act in good faith; </w:t>
      </w:r>
    </w:p>
    <w:p w:rsidR="008D57EC" w:rsidRPr="00D66C69" w:rsidRDefault="002616D7" w:rsidP="00B95BA0">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I have a reasonable belief that the allegations contained in the disclosed information are true; </w:t>
      </w:r>
    </w:p>
    <w:p w:rsidR="008D57EC" w:rsidRPr="00D66C69" w:rsidRDefault="002616D7" w:rsidP="00B95BA0">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3) I am not reporting in order to gain benefits; </w:t>
      </w:r>
    </w:p>
    <w:p w:rsidR="008D57EC" w:rsidRPr="00D66C69" w:rsidRDefault="002616D7" w:rsidP="00B95BA0">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4) the information disclosed is consistent with the state of my knowledge and I have disclosed all facts and circumstances known to me regarding the subject of the report; </w:t>
      </w:r>
    </w:p>
    <w:p w:rsidR="008D57EC" w:rsidRDefault="002616D7" w:rsidP="00B95BA0">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5) I am familiar with the procedure for reporting violations, specified in the Regulations on internal reporting at the </w:t>
      </w:r>
      <w:r w:rsidR="003058E2" w:rsidRPr="00D66C69">
        <w:rPr>
          <w:rFonts w:ascii="Arial Narrow" w:eastAsia="Arial" w:hAnsi="Arial Narrow" w:cs="Arial"/>
          <w:color w:val="000000"/>
          <w:lang w:val="en-GB"/>
        </w:rPr>
        <w:t>National Research Institute of Animal Production</w:t>
      </w:r>
      <w:r w:rsidRPr="00D66C69">
        <w:rPr>
          <w:rFonts w:ascii="Arial Narrow" w:eastAsia="Arial" w:hAnsi="Arial Narrow" w:cs="Arial"/>
          <w:color w:val="000000"/>
          <w:lang w:val="en-GB"/>
        </w:rPr>
        <w:t xml:space="preserve">. </w:t>
      </w:r>
    </w:p>
    <w:p w:rsidR="006814D1" w:rsidRPr="00D66C69" w:rsidRDefault="006814D1" w:rsidP="00B95BA0">
      <w:pPr>
        <w:pBdr>
          <w:top w:val="nil"/>
          <w:left w:val="nil"/>
          <w:bottom w:val="nil"/>
          <w:right w:val="nil"/>
          <w:between w:val="nil"/>
        </w:pBdr>
        <w:spacing w:after="0" w:line="240" w:lineRule="auto"/>
        <w:ind w:firstLine="720"/>
        <w:jc w:val="both"/>
        <w:rPr>
          <w:rFonts w:ascii="Arial Narrow" w:eastAsia="Arial" w:hAnsi="Arial Narrow" w:cs="Arial"/>
          <w:color w:val="000000"/>
          <w:lang w:val="en-GB"/>
        </w:rPr>
      </w:pP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right"/>
        <w:rPr>
          <w:rFonts w:ascii="Arial Narrow" w:eastAsia="Arial" w:hAnsi="Arial Narrow" w:cs="Arial"/>
          <w:color w:val="000000"/>
          <w:lang w:val="en-GB"/>
        </w:rPr>
      </w:pPr>
      <w:r w:rsidRPr="00D66C69">
        <w:rPr>
          <w:rFonts w:ascii="Arial Narrow" w:eastAsia="Arial" w:hAnsi="Arial Narrow" w:cs="Arial"/>
          <w:color w:val="000000"/>
          <w:lang w:val="en-GB"/>
        </w:rPr>
        <w:t xml:space="preserve">................................................................................. </w:t>
      </w:r>
    </w:p>
    <w:p w:rsidR="008D57EC" w:rsidRPr="00D66C69" w:rsidRDefault="002616D7" w:rsidP="000C2D2A">
      <w:pPr>
        <w:pBdr>
          <w:top w:val="nil"/>
          <w:left w:val="nil"/>
          <w:bottom w:val="nil"/>
          <w:right w:val="nil"/>
          <w:between w:val="nil"/>
        </w:pBdr>
        <w:spacing w:after="0" w:line="240" w:lineRule="auto"/>
        <w:jc w:val="right"/>
        <w:rPr>
          <w:rFonts w:ascii="Arial Narrow" w:eastAsia="Arial" w:hAnsi="Arial Narrow" w:cs="Arial"/>
          <w:color w:val="000000"/>
          <w:sz w:val="18"/>
          <w:szCs w:val="18"/>
          <w:lang w:val="en-GB"/>
        </w:rPr>
      </w:pPr>
      <w:r w:rsidRPr="00D66C69">
        <w:rPr>
          <w:rFonts w:ascii="Arial Narrow" w:eastAsia="Arial" w:hAnsi="Arial Narrow" w:cs="Arial"/>
          <w:i/>
          <w:color w:val="000000"/>
          <w:sz w:val="18"/>
          <w:szCs w:val="18"/>
          <w:lang w:val="en-GB"/>
        </w:rPr>
        <w:t xml:space="preserve">(legible signature of the person submitting the report) </w:t>
      </w:r>
    </w:p>
    <w:p w:rsidR="008D57EC" w:rsidRPr="00D66C69" w:rsidRDefault="002616D7" w:rsidP="000C2D2A">
      <w:pPr>
        <w:pageBreakBefore/>
        <w:pBdr>
          <w:top w:val="nil"/>
          <w:left w:val="nil"/>
          <w:bottom w:val="nil"/>
          <w:right w:val="nil"/>
          <w:between w:val="nil"/>
        </w:pBdr>
        <w:spacing w:after="0" w:line="240" w:lineRule="auto"/>
        <w:jc w:val="right"/>
        <w:rPr>
          <w:rFonts w:ascii="Arial Narrow" w:eastAsia="Arial" w:hAnsi="Arial Narrow" w:cs="Arial"/>
          <w:color w:val="000000"/>
          <w:sz w:val="20"/>
          <w:szCs w:val="20"/>
          <w:lang w:val="en-GB"/>
        </w:rPr>
      </w:pPr>
      <w:r w:rsidRPr="00D66C69">
        <w:rPr>
          <w:rFonts w:ascii="Arial Narrow" w:eastAsia="Arial" w:hAnsi="Arial Narrow" w:cs="Arial"/>
          <w:color w:val="000000"/>
          <w:sz w:val="20"/>
          <w:szCs w:val="20"/>
          <w:lang w:val="en-GB"/>
        </w:rPr>
        <w:lastRenderedPageBreak/>
        <w:t xml:space="preserve">Annex 2 to the Regulations </w:t>
      </w:r>
    </w:p>
    <w:p w:rsidR="00631D4E" w:rsidRDefault="00631D4E" w:rsidP="000C2D2A">
      <w:pPr>
        <w:pBdr>
          <w:top w:val="nil"/>
          <w:left w:val="nil"/>
          <w:bottom w:val="nil"/>
          <w:right w:val="nil"/>
          <w:between w:val="nil"/>
        </w:pBdr>
        <w:spacing w:after="0" w:line="240" w:lineRule="auto"/>
        <w:jc w:val="right"/>
        <w:rPr>
          <w:rFonts w:ascii="Arial Narrow" w:eastAsia="Arial" w:hAnsi="Arial Narrow" w:cs="Arial"/>
          <w:i/>
          <w:color w:val="000000"/>
          <w:sz w:val="19"/>
          <w:szCs w:val="19"/>
          <w:lang w:val="en-GB"/>
        </w:rPr>
      </w:pPr>
    </w:p>
    <w:p w:rsidR="008D57EC" w:rsidRPr="00D66C69" w:rsidRDefault="002616D7" w:rsidP="000C2D2A">
      <w:pPr>
        <w:pBdr>
          <w:top w:val="nil"/>
          <w:left w:val="nil"/>
          <w:bottom w:val="nil"/>
          <w:right w:val="nil"/>
          <w:between w:val="nil"/>
        </w:pBdr>
        <w:spacing w:after="0" w:line="240" w:lineRule="auto"/>
        <w:jc w:val="right"/>
        <w:rPr>
          <w:rFonts w:ascii="Arial Narrow" w:eastAsia="Arial" w:hAnsi="Arial Narrow" w:cs="Arial"/>
          <w:color w:val="000000"/>
          <w:sz w:val="19"/>
          <w:szCs w:val="19"/>
          <w:lang w:val="en-GB"/>
        </w:rPr>
      </w:pPr>
      <w:r w:rsidRPr="00D66C69">
        <w:rPr>
          <w:rFonts w:ascii="Arial Narrow" w:eastAsia="Arial" w:hAnsi="Arial Narrow" w:cs="Arial"/>
          <w:i/>
          <w:color w:val="000000"/>
          <w:sz w:val="19"/>
          <w:szCs w:val="19"/>
          <w:lang w:val="en-GB"/>
        </w:rPr>
        <w:t xml:space="preserve">…………………………………………………. </w:t>
      </w:r>
    </w:p>
    <w:p w:rsidR="008D57EC" w:rsidRPr="00D66C69" w:rsidRDefault="002616D7" w:rsidP="000C2D2A">
      <w:pPr>
        <w:pBdr>
          <w:top w:val="nil"/>
          <w:left w:val="nil"/>
          <w:bottom w:val="nil"/>
          <w:right w:val="nil"/>
          <w:between w:val="nil"/>
        </w:pBdr>
        <w:spacing w:after="0" w:line="240" w:lineRule="auto"/>
        <w:jc w:val="right"/>
        <w:rPr>
          <w:rFonts w:ascii="Arial Narrow" w:eastAsia="Arial" w:hAnsi="Arial Narrow" w:cs="Arial"/>
          <w:color w:val="000000"/>
          <w:sz w:val="19"/>
          <w:szCs w:val="19"/>
          <w:lang w:val="en-GB"/>
        </w:rPr>
      </w:pPr>
      <w:r w:rsidRPr="00D66C69">
        <w:rPr>
          <w:rFonts w:ascii="Arial Narrow" w:eastAsia="Arial" w:hAnsi="Arial Narrow" w:cs="Arial"/>
          <w:i/>
          <w:color w:val="000000"/>
          <w:sz w:val="19"/>
          <w:szCs w:val="19"/>
          <w:lang w:val="en-GB"/>
        </w:rPr>
        <w:t xml:space="preserve">(place and date) </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b/>
          <w:color w:val="000000"/>
          <w:lang w:val="en-GB"/>
        </w:rPr>
      </w:pPr>
    </w:p>
    <w:p w:rsidR="000C2D2A" w:rsidRPr="00D66C69" w:rsidRDefault="000C2D2A" w:rsidP="000C2D2A">
      <w:pPr>
        <w:pBdr>
          <w:top w:val="nil"/>
          <w:left w:val="nil"/>
          <w:bottom w:val="nil"/>
          <w:right w:val="nil"/>
          <w:between w:val="nil"/>
        </w:pBdr>
        <w:spacing w:after="0" w:line="240" w:lineRule="auto"/>
        <w:jc w:val="both"/>
        <w:rPr>
          <w:rFonts w:ascii="Arial Narrow" w:eastAsia="Arial" w:hAnsi="Arial Narrow" w:cs="Arial"/>
          <w:b/>
          <w:color w:val="000000"/>
          <w:lang w:val="en-GB"/>
        </w:rPr>
      </w:pPr>
    </w:p>
    <w:p w:rsidR="008D57EC" w:rsidRPr="00D66C69" w:rsidRDefault="002616D7" w:rsidP="000C2D2A">
      <w:pPr>
        <w:pBdr>
          <w:top w:val="nil"/>
          <w:left w:val="nil"/>
          <w:bottom w:val="nil"/>
          <w:right w:val="nil"/>
          <w:between w:val="nil"/>
        </w:pBdr>
        <w:spacing w:after="0" w:line="240" w:lineRule="auto"/>
        <w:jc w:val="center"/>
        <w:rPr>
          <w:rFonts w:ascii="Arial Narrow" w:eastAsia="Arial" w:hAnsi="Arial Narrow" w:cs="Arial"/>
          <w:color w:val="000000"/>
          <w:lang w:val="en-GB"/>
        </w:rPr>
      </w:pPr>
      <w:r w:rsidRPr="00D66C69">
        <w:rPr>
          <w:rFonts w:ascii="Arial Narrow" w:eastAsia="Arial" w:hAnsi="Arial Narrow" w:cs="Arial"/>
          <w:b/>
          <w:color w:val="000000"/>
          <w:lang w:val="en-GB"/>
        </w:rPr>
        <w:t>Authorization and instruction to process data in connection with reports of violations of the law</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0C2D2A" w:rsidRPr="00D66C69" w:rsidRDefault="000C2D2A"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376041">
      <w:pPr>
        <w:pBdr>
          <w:top w:val="nil"/>
          <w:left w:val="nil"/>
          <w:bottom w:val="nil"/>
          <w:right w:val="nil"/>
          <w:between w:val="nil"/>
        </w:pBdr>
        <w:spacing w:after="12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Pursuant to Art. 29 </w:t>
      </w:r>
      <w:r w:rsidR="009A1CCB">
        <w:rPr>
          <w:rFonts w:ascii="Arial Narrow" w:eastAsia="Arial" w:hAnsi="Arial Narrow" w:cs="Arial"/>
          <w:color w:val="000000"/>
          <w:lang w:val="en-GB"/>
        </w:rPr>
        <w:t xml:space="preserve">of the </w:t>
      </w:r>
      <w:r w:rsidRPr="00D66C69">
        <w:rPr>
          <w:rFonts w:ascii="Arial Narrow" w:eastAsia="Arial" w:hAnsi="Arial Narrow" w:cs="Arial"/>
          <w:color w:val="000000"/>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as of ………..……….. </w:t>
      </w:r>
      <w:r w:rsidRPr="00D66C69">
        <w:rPr>
          <w:rFonts w:ascii="Arial Narrow" w:eastAsia="Arial" w:hAnsi="Arial Narrow" w:cs="Arial"/>
          <w:b/>
          <w:color w:val="000000"/>
          <w:lang w:val="en-GB"/>
        </w:rPr>
        <w:t>I authorize</w:t>
      </w:r>
      <w:r w:rsidRPr="00D66C69">
        <w:rPr>
          <w:rFonts w:ascii="Arial Narrow" w:eastAsia="Arial" w:hAnsi="Arial Narrow" w:cs="Arial"/>
          <w:color w:val="000000"/>
          <w:lang w:val="en-GB"/>
        </w:rPr>
        <w:t xml:space="preserve">: </w:t>
      </w:r>
    </w:p>
    <w:p w:rsidR="008D57EC" w:rsidRPr="00D66C69" w:rsidRDefault="002616D7" w:rsidP="00376041">
      <w:pPr>
        <w:pBdr>
          <w:top w:val="nil"/>
          <w:left w:val="nil"/>
          <w:bottom w:val="nil"/>
          <w:right w:val="nil"/>
          <w:between w:val="nil"/>
        </w:pBdr>
        <w:spacing w:after="120" w:line="240" w:lineRule="auto"/>
        <w:jc w:val="both"/>
        <w:rPr>
          <w:rFonts w:ascii="Arial Narrow" w:eastAsia="Arial" w:hAnsi="Arial Narrow" w:cs="Arial"/>
          <w:color w:val="000000"/>
          <w:sz w:val="18"/>
          <w:szCs w:val="18"/>
          <w:lang w:val="en-GB"/>
        </w:rPr>
      </w:pPr>
      <w:r w:rsidRPr="00D66C69">
        <w:rPr>
          <w:rFonts w:ascii="Arial Narrow" w:eastAsia="Arial" w:hAnsi="Arial Narrow" w:cs="Arial"/>
          <w:b/>
          <w:color w:val="000000"/>
          <w:lang w:val="en-GB"/>
        </w:rPr>
        <w:t xml:space="preserve">Mr/Ms …………………………………………………………………… </w:t>
      </w:r>
      <w:r w:rsidRPr="00D66C69">
        <w:rPr>
          <w:rFonts w:ascii="Arial Narrow" w:eastAsia="Arial" w:hAnsi="Arial Narrow" w:cs="Arial"/>
          <w:color w:val="000000"/>
          <w:sz w:val="18"/>
          <w:szCs w:val="18"/>
          <w:lang w:val="en-GB"/>
        </w:rPr>
        <w:t>(</w:t>
      </w:r>
      <w:r w:rsidRPr="00D66C69">
        <w:rPr>
          <w:rFonts w:ascii="Arial Narrow" w:eastAsia="Arial" w:hAnsi="Arial Narrow" w:cs="Arial"/>
          <w:i/>
          <w:color w:val="000000"/>
          <w:sz w:val="18"/>
          <w:szCs w:val="18"/>
          <w:lang w:val="en-GB"/>
        </w:rPr>
        <w:t xml:space="preserve">name and surname) </w:t>
      </w:r>
    </w:p>
    <w:p w:rsidR="008D57EC" w:rsidRPr="00D66C69" w:rsidRDefault="002616D7" w:rsidP="00376041">
      <w:pPr>
        <w:pBdr>
          <w:top w:val="nil"/>
          <w:left w:val="nil"/>
          <w:bottom w:val="nil"/>
          <w:right w:val="nil"/>
          <w:between w:val="nil"/>
        </w:pBdr>
        <w:spacing w:after="12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to process personal data to the extent necessary to receive, consider, evaluate and clarify reports of violations of law received by the Administrator from </w:t>
      </w:r>
      <w:proofErr w:type="spellStart"/>
      <w:r w:rsidRPr="00D66C69">
        <w:rPr>
          <w:rFonts w:ascii="Arial Narrow" w:eastAsia="Arial" w:hAnsi="Arial Narrow" w:cs="Arial"/>
          <w:color w:val="000000"/>
          <w:lang w:val="en-GB"/>
        </w:rPr>
        <w:t>whistleblowers</w:t>
      </w:r>
      <w:proofErr w:type="spellEnd"/>
      <w:r w:rsidRPr="00D66C69">
        <w:rPr>
          <w:rFonts w:ascii="Arial Narrow" w:eastAsia="Arial" w:hAnsi="Arial Narrow" w:cs="Arial"/>
          <w:color w:val="000000"/>
          <w:lang w:val="en-GB"/>
        </w:rPr>
        <w:t xml:space="preserve"> </w:t>
      </w:r>
      <w:r w:rsidRPr="00D66C69">
        <w:rPr>
          <w:rFonts w:ascii="Arial Narrow" w:eastAsia="Arial" w:hAnsi="Arial Narrow" w:cs="Arial"/>
          <w:b/>
          <w:color w:val="000000"/>
          <w:lang w:val="en-GB"/>
        </w:rPr>
        <w:t xml:space="preserve">and I recommend it </w:t>
      </w:r>
      <w:r w:rsidR="00376041" w:rsidRPr="00376041">
        <w:rPr>
          <w:rFonts w:ascii="Arial Narrow" w:eastAsia="Arial" w:hAnsi="Arial Narrow" w:cs="Arial"/>
          <w:color w:val="000000"/>
          <w:lang w:val="en-GB"/>
        </w:rPr>
        <w:t>that</w:t>
      </w:r>
      <w:r w:rsidR="00376041">
        <w:rPr>
          <w:rFonts w:ascii="Arial Narrow" w:eastAsia="Arial" w:hAnsi="Arial Narrow" w:cs="Arial"/>
          <w:b/>
          <w:color w:val="000000"/>
          <w:lang w:val="en-GB"/>
        </w:rPr>
        <w:t xml:space="preserve"> </w:t>
      </w:r>
      <w:r w:rsidRPr="00D66C69">
        <w:rPr>
          <w:rFonts w:ascii="Arial Narrow" w:eastAsia="Arial" w:hAnsi="Arial Narrow" w:cs="Arial"/>
          <w:color w:val="000000"/>
          <w:lang w:val="en-GB"/>
        </w:rPr>
        <w:t xml:space="preserve">you process personal data in the above scope and purpose. </w:t>
      </w:r>
    </w:p>
    <w:p w:rsidR="008D57EC" w:rsidRPr="00D66C69" w:rsidRDefault="002616D7" w:rsidP="00376041">
      <w:pPr>
        <w:pBdr>
          <w:top w:val="nil"/>
          <w:left w:val="nil"/>
          <w:bottom w:val="nil"/>
          <w:right w:val="nil"/>
          <w:between w:val="nil"/>
        </w:pBdr>
        <w:spacing w:after="12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The authorization includes the right to process data of </w:t>
      </w:r>
      <w:proofErr w:type="spellStart"/>
      <w:r w:rsidRPr="00D66C69">
        <w:rPr>
          <w:rFonts w:ascii="Arial Narrow" w:eastAsia="Arial" w:hAnsi="Arial Narrow" w:cs="Arial"/>
          <w:color w:val="000000"/>
          <w:lang w:val="en-GB"/>
        </w:rPr>
        <w:t>whistleblowers</w:t>
      </w:r>
      <w:proofErr w:type="spellEnd"/>
      <w:r w:rsidRPr="00D66C69">
        <w:rPr>
          <w:rFonts w:ascii="Arial Narrow" w:eastAsia="Arial" w:hAnsi="Arial Narrow" w:cs="Arial"/>
          <w:color w:val="000000"/>
          <w:lang w:val="en-GB"/>
        </w:rPr>
        <w:t xml:space="preserve"> and persons indicated in reports, to the extent necessary to implement the internal procedure for accepting and considering reports from </w:t>
      </w:r>
      <w:proofErr w:type="spellStart"/>
      <w:r w:rsidRPr="00D66C69">
        <w:rPr>
          <w:rFonts w:ascii="Arial Narrow" w:eastAsia="Arial" w:hAnsi="Arial Narrow" w:cs="Arial"/>
          <w:color w:val="000000"/>
          <w:lang w:val="en-GB"/>
        </w:rPr>
        <w:t>whistleblowers</w:t>
      </w:r>
      <w:proofErr w:type="spellEnd"/>
      <w:r w:rsidRPr="00D66C69">
        <w:rPr>
          <w:rFonts w:ascii="Arial Narrow" w:eastAsia="Arial" w:hAnsi="Arial Narrow" w:cs="Arial"/>
          <w:color w:val="000000"/>
          <w:lang w:val="en-GB"/>
        </w:rPr>
        <w:t xml:space="preserve">. </w:t>
      </w:r>
    </w:p>
    <w:p w:rsidR="008D57EC" w:rsidRPr="00D66C69" w:rsidRDefault="002616D7" w:rsidP="00376041">
      <w:pPr>
        <w:pBdr>
          <w:top w:val="nil"/>
          <w:left w:val="nil"/>
          <w:bottom w:val="nil"/>
          <w:right w:val="nil"/>
          <w:between w:val="nil"/>
        </w:pBdr>
        <w:spacing w:after="12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The authorization covers the collection of data, access to data, copying, sending, using pseudonymization, and destruction after the expiry of its usefulness. The indicated activities will be carried out using equipment and tools provided by the Administrator. </w:t>
      </w:r>
    </w:p>
    <w:p w:rsidR="008D57EC" w:rsidRPr="00D66C69" w:rsidRDefault="002616D7" w:rsidP="00376041">
      <w:pPr>
        <w:pBdr>
          <w:top w:val="nil"/>
          <w:left w:val="nil"/>
          <w:bottom w:val="nil"/>
          <w:right w:val="nil"/>
          <w:between w:val="nil"/>
        </w:pBdr>
        <w:spacing w:after="12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The authorization expires when you are removed from your position as a member of the Reporting Committee</w:t>
      </w:r>
      <w:r w:rsidRPr="00D66C69">
        <w:rPr>
          <w:rFonts w:ascii="Arial Narrow" w:eastAsia="Arial" w:hAnsi="Arial Narrow" w:cs="Arial"/>
          <w:color w:val="000000"/>
          <w:sz w:val="23"/>
          <w:szCs w:val="23"/>
          <w:lang w:val="en-GB"/>
        </w:rPr>
        <w:t xml:space="preserve">, and also </w:t>
      </w:r>
      <w:r w:rsidRPr="00D66C69">
        <w:rPr>
          <w:rFonts w:ascii="Arial Narrow" w:eastAsia="Arial" w:hAnsi="Arial Narrow" w:cs="Arial"/>
          <w:color w:val="000000"/>
          <w:lang w:val="en-GB"/>
        </w:rPr>
        <w:t xml:space="preserve">upon termination of your employment or cooperation. At the same time, I would like to inform you that you are obliged to keep the information obtained as a result of reporting confidential. </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i/>
          <w:color w:val="000000"/>
          <w:sz w:val="19"/>
          <w:szCs w:val="19"/>
          <w:lang w:val="en-GB"/>
        </w:rPr>
      </w:pPr>
    </w:p>
    <w:p w:rsidR="008D57EC" w:rsidRPr="00D66C69" w:rsidRDefault="002616D7" w:rsidP="000C2D2A">
      <w:pPr>
        <w:pBdr>
          <w:top w:val="nil"/>
          <w:left w:val="nil"/>
          <w:bottom w:val="nil"/>
          <w:right w:val="nil"/>
          <w:between w:val="nil"/>
        </w:pBdr>
        <w:spacing w:after="0" w:line="240" w:lineRule="auto"/>
        <w:jc w:val="right"/>
        <w:rPr>
          <w:rFonts w:ascii="Arial Narrow" w:eastAsia="Arial" w:hAnsi="Arial Narrow" w:cs="Arial"/>
          <w:color w:val="000000"/>
          <w:sz w:val="19"/>
          <w:szCs w:val="19"/>
          <w:lang w:val="en-GB"/>
        </w:rPr>
      </w:pPr>
      <w:r w:rsidRPr="00D66C69">
        <w:rPr>
          <w:rFonts w:ascii="Arial Narrow" w:eastAsia="Arial" w:hAnsi="Arial Narrow" w:cs="Arial"/>
          <w:i/>
          <w:color w:val="000000"/>
          <w:sz w:val="19"/>
          <w:szCs w:val="19"/>
          <w:lang w:val="en-GB"/>
        </w:rPr>
        <w:t xml:space="preserve">………………………………………….. </w:t>
      </w:r>
    </w:p>
    <w:p w:rsidR="008D57EC" w:rsidRPr="00D66C69" w:rsidRDefault="002616D7" w:rsidP="000C2D2A">
      <w:pPr>
        <w:pBdr>
          <w:top w:val="nil"/>
          <w:left w:val="nil"/>
          <w:bottom w:val="nil"/>
          <w:right w:val="nil"/>
          <w:between w:val="nil"/>
        </w:pBdr>
        <w:spacing w:after="0" w:line="240" w:lineRule="auto"/>
        <w:jc w:val="right"/>
        <w:rPr>
          <w:rFonts w:ascii="Arial Narrow" w:eastAsia="Arial" w:hAnsi="Arial Narrow" w:cs="Arial"/>
          <w:color w:val="000000"/>
          <w:sz w:val="19"/>
          <w:szCs w:val="19"/>
          <w:lang w:val="en-GB"/>
        </w:rPr>
      </w:pPr>
      <w:r w:rsidRPr="00D66C69">
        <w:rPr>
          <w:rFonts w:ascii="Arial Narrow" w:eastAsia="Arial" w:hAnsi="Arial Narrow" w:cs="Arial"/>
          <w:i/>
          <w:color w:val="000000"/>
          <w:sz w:val="19"/>
          <w:szCs w:val="19"/>
          <w:lang w:val="en-GB"/>
        </w:rPr>
        <w:t xml:space="preserve">Administrator's signature </w:t>
      </w:r>
    </w:p>
    <w:p w:rsidR="008D57EC" w:rsidRPr="00D66C69" w:rsidRDefault="002616D7" w:rsidP="000C2D2A">
      <w:pPr>
        <w:pageBreakBefore/>
        <w:pBdr>
          <w:top w:val="nil"/>
          <w:left w:val="nil"/>
          <w:bottom w:val="nil"/>
          <w:right w:val="nil"/>
          <w:between w:val="nil"/>
        </w:pBdr>
        <w:spacing w:after="0" w:line="240" w:lineRule="auto"/>
        <w:jc w:val="right"/>
        <w:rPr>
          <w:rFonts w:ascii="Arial Narrow" w:eastAsia="Arial" w:hAnsi="Arial Narrow" w:cs="Arial"/>
          <w:color w:val="000000"/>
          <w:sz w:val="20"/>
          <w:szCs w:val="20"/>
          <w:lang w:val="en-GB"/>
        </w:rPr>
      </w:pPr>
      <w:r w:rsidRPr="00D66C69">
        <w:rPr>
          <w:rFonts w:ascii="Arial Narrow" w:eastAsia="Arial" w:hAnsi="Arial Narrow" w:cs="Arial"/>
          <w:color w:val="000000"/>
          <w:sz w:val="20"/>
          <w:szCs w:val="20"/>
          <w:lang w:val="en-GB"/>
        </w:rPr>
        <w:lastRenderedPageBreak/>
        <w:t xml:space="preserve">Annex 3 to the Regulations </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b/>
          <w:color w:val="000000"/>
          <w:lang w:val="en-GB"/>
        </w:rPr>
      </w:pPr>
    </w:p>
    <w:p w:rsidR="00376041" w:rsidRDefault="00376041" w:rsidP="000C2D2A">
      <w:pPr>
        <w:pBdr>
          <w:top w:val="nil"/>
          <w:left w:val="nil"/>
          <w:bottom w:val="nil"/>
          <w:right w:val="nil"/>
          <w:between w:val="nil"/>
        </w:pBdr>
        <w:spacing w:after="0" w:line="240" w:lineRule="auto"/>
        <w:jc w:val="both"/>
        <w:rPr>
          <w:rFonts w:ascii="Arial Narrow" w:eastAsia="Arial" w:hAnsi="Arial Narrow" w:cs="Arial"/>
          <w:b/>
          <w:color w:val="000000"/>
          <w:lang w:val="en-GB"/>
        </w:rPr>
      </w:pP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b/>
          <w:color w:val="000000"/>
          <w:lang w:val="en-GB"/>
        </w:rPr>
        <w:t xml:space="preserve">GDPR information clause </w:t>
      </w:r>
    </w:p>
    <w:p w:rsidR="000C2D2A" w:rsidRPr="00D66C69" w:rsidRDefault="000C2D2A" w:rsidP="000C2D2A">
      <w:pPr>
        <w:pBdr>
          <w:top w:val="nil"/>
          <w:left w:val="nil"/>
          <w:bottom w:val="nil"/>
          <w:right w:val="nil"/>
          <w:between w:val="nil"/>
        </w:pBdr>
        <w:spacing w:after="0" w:line="240" w:lineRule="auto"/>
        <w:jc w:val="both"/>
        <w:rPr>
          <w:rFonts w:ascii="Arial Narrow" w:eastAsia="Arial" w:hAnsi="Arial Narrow" w:cs="Arial"/>
          <w:i/>
          <w:color w:val="000000"/>
          <w:lang w:val="en-GB"/>
        </w:rPr>
      </w:pP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i/>
          <w:color w:val="000000"/>
          <w:lang w:val="en-GB"/>
        </w:rPr>
        <w:t xml:space="preserve">The purpose of this information clause is to fulfil the legal obligations imposed on the Data Controller by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The administrator of your personal data is the </w:t>
      </w:r>
      <w:r w:rsidR="003058E2" w:rsidRPr="00D66C69">
        <w:rPr>
          <w:rFonts w:ascii="Arial Narrow" w:eastAsia="Arial" w:hAnsi="Arial Narrow" w:cs="Arial"/>
          <w:color w:val="000000"/>
          <w:lang w:val="en-GB"/>
        </w:rPr>
        <w:t xml:space="preserve">National Research Institute of Animal Production </w:t>
      </w:r>
      <w:r w:rsidRPr="00D66C69">
        <w:rPr>
          <w:rFonts w:ascii="Arial Narrow" w:eastAsia="Arial" w:hAnsi="Arial Narrow" w:cs="Arial"/>
          <w:color w:val="000000"/>
          <w:lang w:val="en-GB"/>
        </w:rPr>
        <w:t>with its registered office in Krak</w:t>
      </w:r>
      <w:r w:rsidR="00F70E57">
        <w:rPr>
          <w:rFonts w:ascii="Arial Narrow" w:eastAsia="Arial" w:hAnsi="Arial Narrow" w:cs="Arial"/>
          <w:color w:val="000000"/>
          <w:lang w:val="en-GB"/>
        </w:rPr>
        <w:t>ó</w:t>
      </w:r>
      <w:r w:rsidRPr="00D66C69">
        <w:rPr>
          <w:rFonts w:ascii="Arial Narrow" w:eastAsia="Arial" w:hAnsi="Arial Narrow" w:cs="Arial"/>
          <w:color w:val="000000"/>
          <w:lang w:val="en-GB"/>
        </w:rPr>
        <w:t xml:space="preserve">w, at the following address: ul. </w:t>
      </w:r>
      <w:proofErr w:type="spellStart"/>
      <w:r w:rsidRPr="00D66C69">
        <w:rPr>
          <w:rFonts w:ascii="Arial Narrow" w:eastAsia="Arial" w:hAnsi="Arial Narrow" w:cs="Arial"/>
          <w:color w:val="000000"/>
          <w:lang w:val="en-GB"/>
        </w:rPr>
        <w:t>Sarego</w:t>
      </w:r>
      <w:proofErr w:type="spellEnd"/>
      <w:r w:rsidRPr="00D66C69">
        <w:rPr>
          <w:rFonts w:ascii="Arial Narrow" w:eastAsia="Arial" w:hAnsi="Arial Narrow" w:cs="Arial"/>
          <w:color w:val="000000"/>
          <w:lang w:val="en-GB"/>
        </w:rPr>
        <w:t xml:space="preserve"> 2, 31-047 Kraków (hereinafter referred to as</w:t>
      </w:r>
      <w:r w:rsidR="00DC6A11">
        <w:rPr>
          <w:rFonts w:ascii="Arial Narrow" w:eastAsia="Arial" w:hAnsi="Arial Narrow" w:cs="Arial"/>
          <w:color w:val="000000"/>
          <w:lang w:val="en-GB"/>
        </w:rPr>
        <w:t xml:space="preserve"> the</w:t>
      </w:r>
      <w:r w:rsidRPr="00D66C69">
        <w:rPr>
          <w:rFonts w:ascii="Arial Narrow" w:eastAsia="Arial" w:hAnsi="Arial Narrow" w:cs="Arial"/>
          <w:color w:val="000000"/>
          <w:lang w:val="en-GB"/>
        </w:rPr>
        <w:t xml:space="preserve"> "Administrator"). </w:t>
      </w:r>
    </w:p>
    <w:p w:rsidR="008D57EC" w:rsidRPr="00D66C69" w:rsidRDefault="002616D7" w:rsidP="000A0677">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1) The Administrator has appointed a Personal Data Protection Inspector, who can be contacted at the following e-mail address: iod.r.andrzejewski@szkolenia</w:t>
      </w:r>
      <w:r w:rsidR="007B175C">
        <w:rPr>
          <w:rFonts w:ascii="Arial Narrow" w:eastAsia="Arial" w:hAnsi="Arial Narrow" w:cs="Arial"/>
          <w:color w:val="000000"/>
          <w:lang w:val="en-GB"/>
        </w:rPr>
        <w:t>p</w:t>
      </w:r>
      <w:r w:rsidRPr="00D66C69">
        <w:rPr>
          <w:rFonts w:ascii="Arial Narrow" w:eastAsia="Arial" w:hAnsi="Arial Narrow" w:cs="Arial"/>
          <w:color w:val="000000"/>
          <w:lang w:val="en-GB"/>
        </w:rPr>
        <w:t>raw</w:t>
      </w:r>
      <w:r w:rsidR="007B175C">
        <w:rPr>
          <w:rFonts w:ascii="Arial Narrow" w:eastAsia="Arial" w:hAnsi="Arial Narrow" w:cs="Arial"/>
          <w:color w:val="000000"/>
          <w:lang w:val="en-GB"/>
        </w:rPr>
        <w:t>ni</w:t>
      </w:r>
      <w:r w:rsidRPr="00D66C69">
        <w:rPr>
          <w:rFonts w:ascii="Arial Narrow" w:eastAsia="Arial" w:hAnsi="Arial Narrow" w:cs="Arial"/>
          <w:color w:val="000000"/>
          <w:lang w:val="en-GB"/>
        </w:rPr>
        <w:t xml:space="preserve">cze.com.pl or by phone: +48 504 976 690.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2. Your data will be processed for the purposes of: </w:t>
      </w:r>
    </w:p>
    <w:p w:rsidR="008D57EC" w:rsidRPr="00D66C69" w:rsidRDefault="002616D7" w:rsidP="000608FC">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1) handling reports regarding violations of the law, i.e. in particular: analysis of the received report, keeping a register of reports of violations, preparing reports summarizing the activities carried out and conducting statistical analyses, archiving documents. The above is intended to ensure the legal and financial security of the enterprise, including the prevention of fraud and abuse. The data will be processed pursuant to Art. 6 section 1 letter c </w:t>
      </w:r>
      <w:r w:rsidR="007B175C">
        <w:rPr>
          <w:rFonts w:ascii="Arial Narrow" w:eastAsia="Arial" w:hAnsi="Arial Narrow" w:cs="Arial"/>
          <w:color w:val="000000"/>
          <w:lang w:val="en-GB"/>
        </w:rPr>
        <w:t xml:space="preserve">of </w:t>
      </w:r>
      <w:r>
        <w:rPr>
          <w:rFonts w:ascii="Arial Narrow" w:eastAsia="Arial" w:hAnsi="Arial Narrow" w:cs="Arial"/>
          <w:color w:val="000000"/>
          <w:lang w:val="en-GB"/>
        </w:rPr>
        <w:t xml:space="preserve">the </w:t>
      </w:r>
      <w:r w:rsidRPr="00D66C69">
        <w:rPr>
          <w:rFonts w:ascii="Arial Narrow" w:eastAsia="Arial" w:hAnsi="Arial Narrow" w:cs="Arial"/>
          <w:color w:val="000000"/>
          <w:lang w:val="en-GB"/>
        </w:rPr>
        <w:t xml:space="preserve">GDPR (i.e. the need to fulfil the legal obligation imposed on the Administrator); </w:t>
      </w:r>
    </w:p>
    <w:p w:rsidR="008D57EC" w:rsidRPr="00D66C69" w:rsidRDefault="002616D7" w:rsidP="000608FC">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2) investigation, defen</w:t>
      </w:r>
      <w:r w:rsidR="00E4681B">
        <w:rPr>
          <w:rFonts w:ascii="Arial Narrow" w:eastAsia="Arial" w:hAnsi="Arial Narrow" w:cs="Arial"/>
          <w:color w:val="000000"/>
          <w:lang w:val="en-GB"/>
        </w:rPr>
        <w:t>c</w:t>
      </w:r>
      <w:r w:rsidRPr="00D66C69">
        <w:rPr>
          <w:rFonts w:ascii="Arial Narrow" w:eastAsia="Arial" w:hAnsi="Arial Narrow" w:cs="Arial"/>
          <w:color w:val="000000"/>
          <w:lang w:val="en-GB"/>
        </w:rPr>
        <w:t>e against claims, as well as storing documents for evidentiary purposes to secure information in the event of a legal need to prove facts, which is the legitimate interest of the Administrator</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pursuant to Art. 6 section 1 letter f </w:t>
      </w:r>
      <w:r w:rsidR="000832FA">
        <w:rPr>
          <w:rFonts w:ascii="Arial Narrow" w:eastAsia="Arial" w:hAnsi="Arial Narrow" w:cs="Arial"/>
          <w:color w:val="000000"/>
          <w:lang w:val="en-GB"/>
        </w:rPr>
        <w:t xml:space="preserve">of </w:t>
      </w:r>
      <w:r>
        <w:rPr>
          <w:rFonts w:ascii="Arial Narrow" w:eastAsia="Arial" w:hAnsi="Arial Narrow" w:cs="Arial"/>
          <w:color w:val="000000"/>
          <w:lang w:val="en-GB"/>
        </w:rPr>
        <w:t xml:space="preserve">the </w:t>
      </w:r>
      <w:r w:rsidRPr="00D66C69">
        <w:rPr>
          <w:rFonts w:ascii="Arial Narrow" w:eastAsia="Arial" w:hAnsi="Arial Narrow" w:cs="Arial"/>
          <w:color w:val="000000"/>
          <w:lang w:val="en-GB"/>
        </w:rPr>
        <w:t xml:space="preserve">GDPR.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3. The recipients of your personal data</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to the extent necessary to achieve the purposes of processing your personal data</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may be: (a) entities providing advisory, advisory and control, consulting, accounting, tax, audit and inspection services, (b) entities providing services in the field of IT and/or ICT systems, (c) entities providing document archive management services, d) controlling public authorities, institutions or third parties authorized to request access to or receive personal data on the basis of legal provisions.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4. Your personal data may be transferred outside the European Economic Area ("EEA"). The above may occur if the violation is reported to entities outside the EEA or if the Administrator outsources specific services to entities based outside the EEA or processing data outside the EEA. Your personal data may only be transferred to countries outside the EEA ("third countries") or entities in third countries for which an adequate level of data protection has been determined by decision of the European Commission or standard data protection clauses have been included in contracts with these entities. In connection with the transfer of data outside the EEA, you may request from the Administrator additional information about the security measures used in this respect, obtain a copy of these security measures and information about the place where they are made available by contacting the Administrator in the manner indicated in this information. </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5. The Administrator will process personal data for the period necessary to register and handle the report, then store it to document the activities performed and in the event of disclosure of new circumstances regarding the report, the need to make the documentation available to law enforcement authorities, control institutions, judicial authorities and in the event of claims for a period necessary to resolve them. As a rule, personal data will be stored for the period specified by law</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i.e. personal data processed in connection with accepting a </w:t>
      </w:r>
      <w:r w:rsidR="00265B2C"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or taking follow-up actions and documents related to this </w:t>
      </w:r>
      <w:r w:rsidR="00265B2C" w:rsidRPr="00D66C69">
        <w:rPr>
          <w:rFonts w:ascii="Arial Narrow" w:eastAsia="Arial" w:hAnsi="Arial Narrow" w:cs="Arial"/>
          <w:color w:val="000000"/>
          <w:lang w:val="en-GB"/>
        </w:rPr>
        <w:t>report</w:t>
      </w:r>
      <w:r w:rsidRPr="00D66C69">
        <w:rPr>
          <w:rFonts w:ascii="Arial Narrow" w:eastAsia="Arial" w:hAnsi="Arial Narrow" w:cs="Arial"/>
          <w:color w:val="000000"/>
          <w:lang w:val="en-GB"/>
        </w:rPr>
        <w:t xml:space="preserve"> are stored by a legal entity and a public authority for a period of 3 years after the end of the calendar year, in which the external report was submitted to the public authority competent to take follow-up action or the follow-up action was completed, or after the conclusion of the proceedings initiated by such action. </w:t>
      </w:r>
    </w:p>
    <w:p w:rsidR="008D57EC" w:rsidRPr="00D66C69" w:rsidRDefault="002616D7" w:rsidP="000C2D2A">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6. You have the right to: </w:t>
      </w:r>
    </w:p>
    <w:p w:rsidR="008D57EC" w:rsidRPr="00D66C69" w:rsidRDefault="002616D7" w:rsidP="00B75FC1">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1) access to your personal data, including the right to obtain a copy of the data</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pursuant to Art. 15 </w:t>
      </w:r>
      <w:r w:rsidR="00B00256">
        <w:rPr>
          <w:rFonts w:ascii="Arial Narrow" w:eastAsia="Arial" w:hAnsi="Arial Narrow" w:cs="Arial"/>
          <w:color w:val="000000"/>
          <w:lang w:val="en-GB"/>
        </w:rPr>
        <w:t xml:space="preserve">of </w:t>
      </w:r>
      <w:r w:rsidR="00982BB7">
        <w:rPr>
          <w:rFonts w:ascii="Arial Narrow" w:eastAsia="Arial" w:hAnsi="Arial Narrow" w:cs="Arial"/>
          <w:color w:val="000000"/>
          <w:lang w:val="en-GB"/>
        </w:rPr>
        <w:t xml:space="preserve">the </w:t>
      </w:r>
      <w:r w:rsidRPr="00D66C69">
        <w:rPr>
          <w:rFonts w:ascii="Arial Narrow" w:eastAsia="Arial" w:hAnsi="Arial Narrow" w:cs="Arial"/>
          <w:color w:val="000000"/>
          <w:lang w:val="en-GB"/>
        </w:rPr>
        <w:t xml:space="preserve">GDPR; </w:t>
      </w:r>
    </w:p>
    <w:p w:rsidR="008D57EC" w:rsidRPr="00D66C69" w:rsidRDefault="002616D7" w:rsidP="00B75FC1">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2) request rectification (correction) of personal data</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pursuant to Art. 16 </w:t>
      </w:r>
      <w:r w:rsidR="0064551D">
        <w:rPr>
          <w:rFonts w:ascii="Arial Narrow" w:eastAsia="Arial" w:hAnsi="Arial Narrow" w:cs="Arial"/>
          <w:color w:val="000000"/>
          <w:lang w:val="en-GB"/>
        </w:rPr>
        <w:t xml:space="preserve">of </w:t>
      </w:r>
      <w:r w:rsidR="00982BB7">
        <w:rPr>
          <w:rFonts w:ascii="Arial Narrow" w:eastAsia="Arial" w:hAnsi="Arial Narrow" w:cs="Arial"/>
          <w:color w:val="000000"/>
          <w:lang w:val="en-GB"/>
        </w:rPr>
        <w:t xml:space="preserve">the </w:t>
      </w:r>
      <w:r w:rsidRPr="00D66C69">
        <w:rPr>
          <w:rFonts w:ascii="Arial Narrow" w:eastAsia="Arial" w:hAnsi="Arial Narrow" w:cs="Arial"/>
          <w:color w:val="000000"/>
          <w:lang w:val="en-GB"/>
        </w:rPr>
        <w:t xml:space="preserve">GDPR; </w:t>
      </w:r>
    </w:p>
    <w:p w:rsidR="008D57EC" w:rsidRPr="00D66C69" w:rsidRDefault="002616D7" w:rsidP="00B75FC1">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3) deletion of data</w:t>
      </w:r>
      <w:r w:rsidR="00BA4C7E" w:rsidRPr="00D66C69">
        <w:rPr>
          <w:rFonts w:ascii="Arial Narrow" w:eastAsia="Arial" w:hAnsi="Arial Narrow" w:cs="Arial"/>
          <w:color w:val="000000"/>
          <w:lang w:val="en-GB"/>
        </w:rPr>
        <w:t xml:space="preserve"> – </w:t>
      </w:r>
      <w:r w:rsidR="0090017E" w:rsidRPr="00D66C69">
        <w:rPr>
          <w:rFonts w:ascii="Arial Narrow" w:eastAsia="Arial" w:hAnsi="Arial Narrow" w:cs="Arial"/>
          <w:color w:val="000000"/>
          <w:lang w:val="en-GB"/>
        </w:rPr>
        <w:t xml:space="preserve">within the premises </w:t>
      </w:r>
      <w:r w:rsidRPr="00D66C69">
        <w:rPr>
          <w:rFonts w:ascii="Arial Narrow" w:eastAsia="Arial" w:hAnsi="Arial Narrow" w:cs="Arial"/>
          <w:color w:val="000000"/>
          <w:lang w:val="en-GB"/>
        </w:rPr>
        <w:t xml:space="preserve">and under the conditions specified in Art. 17 </w:t>
      </w:r>
      <w:r w:rsidR="0064551D">
        <w:rPr>
          <w:rFonts w:ascii="Arial Narrow" w:eastAsia="Arial" w:hAnsi="Arial Narrow" w:cs="Arial"/>
          <w:color w:val="000000"/>
          <w:lang w:val="en-GB"/>
        </w:rPr>
        <w:t xml:space="preserve">of </w:t>
      </w:r>
      <w:r w:rsidR="00982BB7">
        <w:rPr>
          <w:rFonts w:ascii="Arial Narrow" w:eastAsia="Arial" w:hAnsi="Arial Narrow" w:cs="Arial"/>
          <w:color w:val="000000"/>
          <w:lang w:val="en-GB"/>
        </w:rPr>
        <w:t xml:space="preserve">the </w:t>
      </w:r>
      <w:r w:rsidRPr="00D66C69">
        <w:rPr>
          <w:rFonts w:ascii="Arial Narrow" w:eastAsia="Arial" w:hAnsi="Arial Narrow" w:cs="Arial"/>
          <w:color w:val="000000"/>
          <w:lang w:val="en-GB"/>
        </w:rPr>
        <w:t xml:space="preserve">GDPR; </w:t>
      </w:r>
    </w:p>
    <w:p w:rsidR="008D57EC" w:rsidRPr="00D66C69" w:rsidRDefault="002616D7" w:rsidP="00B75FC1">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4) processing restrictions</w:t>
      </w:r>
      <w:r w:rsidR="00BA4C7E" w:rsidRPr="00D66C69">
        <w:rPr>
          <w:rFonts w:ascii="Arial Narrow" w:eastAsia="Arial" w:hAnsi="Arial Narrow" w:cs="Arial"/>
          <w:color w:val="000000"/>
          <w:lang w:val="en-GB"/>
        </w:rPr>
        <w:t xml:space="preserve"> – </w:t>
      </w:r>
      <w:r w:rsidRPr="00D66C69">
        <w:rPr>
          <w:rFonts w:ascii="Arial Narrow" w:eastAsia="Arial" w:hAnsi="Arial Narrow" w:cs="Arial"/>
          <w:color w:val="000000"/>
          <w:lang w:val="en-GB"/>
        </w:rPr>
        <w:t xml:space="preserve">within the premises and under the conditions specified in Art. 18 </w:t>
      </w:r>
      <w:r w:rsidR="0064551D">
        <w:rPr>
          <w:rFonts w:ascii="Arial Narrow" w:eastAsia="Arial" w:hAnsi="Arial Narrow" w:cs="Arial"/>
          <w:color w:val="000000"/>
          <w:lang w:val="en-GB"/>
        </w:rPr>
        <w:t xml:space="preserve">of </w:t>
      </w:r>
      <w:r w:rsidR="00982BB7">
        <w:rPr>
          <w:rFonts w:ascii="Arial Narrow" w:eastAsia="Arial" w:hAnsi="Arial Narrow" w:cs="Arial"/>
          <w:color w:val="000000"/>
          <w:lang w:val="en-GB"/>
        </w:rPr>
        <w:t xml:space="preserve">the </w:t>
      </w:r>
      <w:r w:rsidRPr="00D66C69">
        <w:rPr>
          <w:rFonts w:ascii="Arial Narrow" w:eastAsia="Arial" w:hAnsi="Arial Narrow" w:cs="Arial"/>
          <w:color w:val="000000"/>
          <w:lang w:val="en-GB"/>
        </w:rPr>
        <w:t xml:space="preserve">GDPR; </w:t>
      </w:r>
    </w:p>
    <w:p w:rsidR="008D57EC" w:rsidRPr="00D66C69" w:rsidRDefault="002616D7" w:rsidP="00B75FC1">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lastRenderedPageBreak/>
        <w:t>5) object to data processing (Art</w:t>
      </w:r>
      <w:r w:rsidR="00B75831">
        <w:rPr>
          <w:rFonts w:ascii="Arial Narrow" w:eastAsia="Arial" w:hAnsi="Arial Narrow" w:cs="Arial"/>
          <w:color w:val="000000"/>
          <w:lang w:val="en-GB"/>
        </w:rPr>
        <w:t xml:space="preserve">. </w:t>
      </w:r>
      <w:r w:rsidRPr="00D66C69">
        <w:rPr>
          <w:rFonts w:ascii="Arial Narrow" w:eastAsia="Arial" w:hAnsi="Arial Narrow" w:cs="Arial"/>
          <w:color w:val="000000"/>
          <w:lang w:val="en-GB"/>
        </w:rPr>
        <w:t xml:space="preserve">21 of the GDPR); you have the right to object to the processing of data by the Administrator for the legally justified purposes of the Administrator for reasons related to your particular situation; </w:t>
      </w:r>
    </w:p>
    <w:p w:rsidR="008D57EC" w:rsidRPr="00D66C69" w:rsidRDefault="002616D7" w:rsidP="00B75FC1">
      <w:pPr>
        <w:pBdr>
          <w:top w:val="nil"/>
          <w:left w:val="nil"/>
          <w:bottom w:val="nil"/>
          <w:right w:val="nil"/>
          <w:between w:val="nil"/>
        </w:pBdr>
        <w:spacing w:after="53" w:line="240" w:lineRule="auto"/>
        <w:ind w:firstLine="720"/>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6) submit a complaint to the supervisory authority (President of the Personal Data Protection Office). </w:t>
      </w:r>
    </w:p>
    <w:p w:rsidR="008D57EC" w:rsidRPr="00D66C69" w:rsidRDefault="002616D7" w:rsidP="00B75FC1">
      <w:pPr>
        <w:pBdr>
          <w:top w:val="nil"/>
          <w:left w:val="nil"/>
          <w:bottom w:val="nil"/>
          <w:right w:val="nil"/>
          <w:between w:val="nil"/>
        </w:pBdr>
        <w:spacing w:after="53"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7. Providing personal data in the violation reporting form is voluntary. </w:t>
      </w: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8. Your personal data will not be processed in an automated manner or will not be subject to profiling. </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i/>
          <w:color w:val="000000"/>
          <w:lang w:val="en-GB"/>
        </w:rPr>
        <w:t xml:space="preserve">You can learn more about your right to object to data processing here: </w:t>
      </w:r>
    </w:p>
    <w:p w:rsidR="000C2D2A" w:rsidRPr="00D66C69" w:rsidRDefault="000C2D2A"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p>
    <w:p w:rsidR="008D57EC" w:rsidRPr="00D66C69" w:rsidRDefault="002616D7" w:rsidP="000C2D2A">
      <w:pPr>
        <w:pBdr>
          <w:top w:val="nil"/>
          <w:left w:val="nil"/>
          <w:bottom w:val="nil"/>
          <w:right w:val="nil"/>
          <w:between w:val="nil"/>
        </w:pBdr>
        <w:spacing w:after="0" w:line="240" w:lineRule="auto"/>
        <w:jc w:val="both"/>
        <w:rPr>
          <w:rFonts w:ascii="Arial Narrow" w:eastAsia="Arial" w:hAnsi="Arial Narrow" w:cs="Arial"/>
          <w:color w:val="000000"/>
          <w:lang w:val="en-GB"/>
        </w:rPr>
      </w:pPr>
      <w:r w:rsidRPr="00D66C69">
        <w:rPr>
          <w:rFonts w:ascii="Arial Narrow" w:eastAsia="Arial" w:hAnsi="Arial Narrow" w:cs="Arial"/>
          <w:color w:val="000000"/>
          <w:lang w:val="en-GB"/>
        </w:rPr>
        <w:t xml:space="preserve">You have the right to object due to your special situation. You may object to the processing of data by the Administrator for the Administrator's legitimate purposes (Article 6(1)(f) of the GDPR) for reasons related to your particular situation. You should then indicate to us the specific situation which, in your opinion, justifies our cessation of the processing covered by the objection. We will stop processing your data for these purposes unless we demonstrate that there are compelling legitimate grounds for processing that override your interests, rights and freedoms, or that your data is necessary for us to establish, investigate or defend claims. If, according to the Administrator's assessment, your interests are more important than the Administrator's interests, he will be obliged to stop processing your personal data for these purposes. </w:t>
      </w:r>
    </w:p>
    <w:p w:rsidR="008D57EC" w:rsidRPr="00D66C69" w:rsidRDefault="002616D7" w:rsidP="000C2D2A">
      <w:pPr>
        <w:jc w:val="both"/>
        <w:rPr>
          <w:rFonts w:ascii="Arial Narrow" w:eastAsia="Arial" w:hAnsi="Arial Narrow" w:cs="Arial"/>
          <w:color w:val="000000"/>
          <w:sz w:val="20"/>
          <w:szCs w:val="20"/>
          <w:lang w:val="en-GB"/>
        </w:rPr>
      </w:pPr>
      <w:r w:rsidRPr="00D66C69">
        <w:rPr>
          <w:rFonts w:ascii="Arial Narrow" w:hAnsi="Arial Narrow"/>
          <w:lang w:val="en-GB"/>
        </w:rPr>
        <w:br w:type="page"/>
      </w:r>
    </w:p>
    <w:p w:rsidR="008D57EC" w:rsidRPr="00D66C69" w:rsidRDefault="002616D7" w:rsidP="000C2D2A">
      <w:pPr>
        <w:pageBreakBefore/>
        <w:pBdr>
          <w:top w:val="nil"/>
          <w:left w:val="nil"/>
          <w:bottom w:val="nil"/>
          <w:right w:val="nil"/>
          <w:between w:val="nil"/>
        </w:pBdr>
        <w:spacing w:after="0" w:line="240" w:lineRule="auto"/>
        <w:jc w:val="right"/>
        <w:rPr>
          <w:rFonts w:ascii="Arial Narrow" w:eastAsia="Arial" w:hAnsi="Arial Narrow" w:cs="Arial"/>
          <w:color w:val="000000"/>
          <w:sz w:val="20"/>
          <w:szCs w:val="20"/>
          <w:lang w:val="en-GB"/>
        </w:rPr>
      </w:pPr>
      <w:r w:rsidRPr="00D66C69">
        <w:rPr>
          <w:rFonts w:ascii="Arial Narrow" w:eastAsia="Arial" w:hAnsi="Arial Narrow" w:cs="Arial"/>
          <w:color w:val="000000"/>
          <w:sz w:val="20"/>
          <w:szCs w:val="20"/>
          <w:lang w:val="en-GB"/>
        </w:rPr>
        <w:lastRenderedPageBreak/>
        <w:t xml:space="preserve">Annex 4 to the Regulations </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b/>
          <w:color w:val="000000"/>
          <w:sz w:val="23"/>
          <w:szCs w:val="23"/>
          <w:lang w:val="en-GB"/>
        </w:rPr>
      </w:pPr>
    </w:p>
    <w:p w:rsidR="00DB28E1" w:rsidRPr="00D66C69" w:rsidRDefault="00DB28E1" w:rsidP="000C2D2A">
      <w:pPr>
        <w:pBdr>
          <w:top w:val="nil"/>
          <w:left w:val="nil"/>
          <w:bottom w:val="nil"/>
          <w:right w:val="nil"/>
          <w:between w:val="nil"/>
        </w:pBdr>
        <w:spacing w:after="0" w:line="240" w:lineRule="auto"/>
        <w:jc w:val="both"/>
        <w:rPr>
          <w:rFonts w:ascii="Arial Narrow" w:eastAsia="Arial" w:hAnsi="Arial Narrow" w:cs="Arial"/>
          <w:b/>
          <w:color w:val="000000"/>
          <w:sz w:val="23"/>
          <w:szCs w:val="23"/>
          <w:lang w:val="en-GB"/>
        </w:rPr>
      </w:pPr>
    </w:p>
    <w:p w:rsidR="00670CFB" w:rsidRDefault="002616D7" w:rsidP="00670CFB">
      <w:pPr>
        <w:pBdr>
          <w:top w:val="nil"/>
          <w:left w:val="nil"/>
          <w:bottom w:val="nil"/>
          <w:right w:val="nil"/>
          <w:between w:val="nil"/>
        </w:pBdr>
        <w:spacing w:after="0" w:line="240" w:lineRule="auto"/>
        <w:jc w:val="center"/>
        <w:rPr>
          <w:rFonts w:ascii="Arial Narrow" w:eastAsia="Arial" w:hAnsi="Arial Narrow" w:cs="Arial"/>
          <w:b/>
          <w:color w:val="000000"/>
          <w:sz w:val="23"/>
          <w:szCs w:val="23"/>
          <w:lang w:val="en-GB"/>
        </w:rPr>
      </w:pPr>
      <w:r w:rsidRPr="00D66C69">
        <w:rPr>
          <w:rFonts w:ascii="Arial Narrow" w:eastAsia="Arial" w:hAnsi="Arial Narrow" w:cs="Arial"/>
          <w:b/>
          <w:color w:val="000000"/>
          <w:sz w:val="23"/>
          <w:szCs w:val="23"/>
          <w:lang w:val="en-GB"/>
        </w:rPr>
        <w:t>Register of internal reports</w:t>
      </w:r>
    </w:p>
    <w:p w:rsidR="008D57EC" w:rsidRPr="00D66C69" w:rsidRDefault="002616D7" w:rsidP="00670CFB">
      <w:pPr>
        <w:pBdr>
          <w:top w:val="nil"/>
          <w:left w:val="nil"/>
          <w:bottom w:val="nil"/>
          <w:right w:val="nil"/>
          <w:between w:val="nil"/>
        </w:pBdr>
        <w:spacing w:after="0" w:line="240" w:lineRule="auto"/>
        <w:jc w:val="center"/>
        <w:rPr>
          <w:rFonts w:ascii="Arial Narrow" w:eastAsia="Arial" w:hAnsi="Arial Narrow" w:cs="Arial"/>
          <w:b/>
          <w:color w:val="000000"/>
          <w:sz w:val="23"/>
          <w:szCs w:val="23"/>
          <w:lang w:val="en-GB"/>
        </w:rPr>
      </w:pPr>
      <w:r w:rsidRPr="00D66C69">
        <w:rPr>
          <w:rFonts w:ascii="Arial Narrow" w:eastAsia="Arial" w:hAnsi="Arial Narrow" w:cs="Arial"/>
          <w:b/>
          <w:color w:val="000000"/>
          <w:sz w:val="23"/>
          <w:szCs w:val="23"/>
          <w:lang w:val="en-GB"/>
        </w:rPr>
        <w:t xml:space="preserve">at the </w:t>
      </w:r>
      <w:r w:rsidR="000C2D2A" w:rsidRPr="00D66C69">
        <w:rPr>
          <w:rFonts w:ascii="Arial Narrow" w:eastAsia="Arial" w:hAnsi="Arial Narrow" w:cs="Arial"/>
          <w:b/>
          <w:color w:val="000000"/>
          <w:sz w:val="23"/>
          <w:szCs w:val="23"/>
          <w:lang w:val="en-GB"/>
        </w:rPr>
        <w:t>National Research Institute of Animal Production</w:t>
      </w:r>
    </w:p>
    <w:p w:rsidR="008D57EC" w:rsidRPr="00D66C69" w:rsidRDefault="008D57EC" w:rsidP="000C2D2A">
      <w:pPr>
        <w:pBdr>
          <w:top w:val="nil"/>
          <w:left w:val="nil"/>
          <w:bottom w:val="nil"/>
          <w:right w:val="nil"/>
          <w:between w:val="nil"/>
        </w:pBdr>
        <w:spacing w:after="0" w:line="240" w:lineRule="auto"/>
        <w:jc w:val="both"/>
        <w:rPr>
          <w:rFonts w:ascii="Arial Narrow" w:eastAsia="Arial" w:hAnsi="Arial Narrow" w:cs="Arial"/>
          <w:b/>
          <w:color w:val="000000"/>
          <w:sz w:val="23"/>
          <w:szCs w:val="23"/>
          <w:lang w:val="en-GB"/>
        </w:rPr>
      </w:pPr>
    </w:p>
    <w:p w:rsidR="00DB28E1" w:rsidRPr="00D66C69" w:rsidRDefault="00DB28E1" w:rsidP="00DB28E1">
      <w:pPr>
        <w:pStyle w:val="Default"/>
        <w:jc w:val="both"/>
        <w:rPr>
          <w:rFonts w:ascii="Arial Narrow" w:hAnsi="Arial Narrow"/>
          <w:b/>
          <w:bCs/>
          <w:sz w:val="23"/>
          <w:szCs w:val="23"/>
          <w:lang w:val="en-GB"/>
        </w:rPr>
      </w:pPr>
    </w:p>
    <w:p w:rsidR="00DB28E1" w:rsidRPr="00D66C69" w:rsidRDefault="00DB28E1" w:rsidP="00DB28E1">
      <w:pPr>
        <w:pStyle w:val="Default"/>
        <w:jc w:val="both"/>
        <w:rPr>
          <w:rFonts w:ascii="Arial Narrow" w:hAnsi="Arial Narrow"/>
          <w:b/>
          <w:bCs/>
          <w:sz w:val="23"/>
          <w:szCs w:val="23"/>
          <w:lang w:val="en-GB"/>
        </w:rPr>
      </w:pPr>
    </w:p>
    <w:tbl>
      <w:tblPr>
        <w:tblStyle w:val="Tabela-Siatka"/>
        <w:tblW w:w="0" w:type="auto"/>
        <w:tblLook w:val="04A0" w:firstRow="1" w:lastRow="0" w:firstColumn="1" w:lastColumn="0" w:noHBand="0" w:noVBand="1"/>
      </w:tblPr>
      <w:tblGrid>
        <w:gridCol w:w="481"/>
        <w:gridCol w:w="1059"/>
        <w:gridCol w:w="1050"/>
        <w:gridCol w:w="1401"/>
        <w:gridCol w:w="970"/>
        <w:gridCol w:w="1561"/>
        <w:gridCol w:w="1519"/>
        <w:gridCol w:w="1247"/>
      </w:tblGrid>
      <w:tr w:rsidR="00376041" w:rsidRPr="00D66C69" w:rsidTr="00192A1F">
        <w:tc>
          <w:tcPr>
            <w:tcW w:w="0" w:type="auto"/>
          </w:tcPr>
          <w:p w:rsidR="00DB28E1" w:rsidRPr="00D66C69" w:rsidRDefault="00DB28E1" w:rsidP="00192A1F">
            <w:pPr>
              <w:pStyle w:val="Default"/>
              <w:jc w:val="both"/>
              <w:rPr>
                <w:rFonts w:ascii="Arial Narrow" w:hAnsi="Arial Narrow"/>
                <w:b/>
                <w:bCs/>
                <w:sz w:val="20"/>
                <w:szCs w:val="20"/>
                <w:lang w:val="en-GB"/>
              </w:rPr>
            </w:pPr>
            <w:r w:rsidRPr="00D66C69">
              <w:rPr>
                <w:rFonts w:ascii="Arial Narrow" w:hAnsi="Arial Narrow"/>
                <w:b/>
                <w:bCs/>
                <w:sz w:val="20"/>
                <w:szCs w:val="20"/>
                <w:lang w:val="en-GB"/>
              </w:rPr>
              <w:t>No.</w:t>
            </w:r>
          </w:p>
        </w:tc>
        <w:tc>
          <w:tcPr>
            <w:tcW w:w="0" w:type="auto"/>
          </w:tcPr>
          <w:p w:rsidR="00DB28E1" w:rsidRPr="00D66C69" w:rsidRDefault="00DB28E1" w:rsidP="00192A1F">
            <w:pPr>
              <w:pStyle w:val="Default"/>
              <w:jc w:val="both"/>
              <w:rPr>
                <w:rFonts w:ascii="Arial Narrow" w:hAnsi="Arial Narrow"/>
                <w:b/>
                <w:bCs/>
                <w:sz w:val="20"/>
                <w:szCs w:val="20"/>
                <w:lang w:val="en-GB"/>
              </w:rPr>
            </w:pPr>
            <w:r w:rsidRPr="00D66C69">
              <w:rPr>
                <w:rFonts w:ascii="Arial Narrow" w:hAnsi="Arial Narrow"/>
                <w:b/>
                <w:bCs/>
                <w:sz w:val="20"/>
                <w:szCs w:val="20"/>
                <w:lang w:val="en-GB"/>
              </w:rPr>
              <w:t>Date of receipt of the report</w:t>
            </w:r>
          </w:p>
        </w:tc>
        <w:tc>
          <w:tcPr>
            <w:tcW w:w="0" w:type="auto"/>
          </w:tcPr>
          <w:p w:rsidR="00DB28E1" w:rsidRPr="00D66C69" w:rsidRDefault="00DB28E1" w:rsidP="00376041">
            <w:pPr>
              <w:pStyle w:val="Default"/>
              <w:jc w:val="both"/>
              <w:rPr>
                <w:rFonts w:ascii="Arial Narrow" w:hAnsi="Arial Narrow"/>
                <w:b/>
                <w:bCs/>
                <w:sz w:val="20"/>
                <w:szCs w:val="20"/>
                <w:lang w:val="en-GB"/>
              </w:rPr>
            </w:pPr>
            <w:r w:rsidRPr="00D66C69">
              <w:rPr>
                <w:rFonts w:ascii="Arial Narrow" w:hAnsi="Arial Narrow"/>
                <w:b/>
                <w:bCs/>
                <w:sz w:val="20"/>
                <w:szCs w:val="20"/>
                <w:lang w:val="en-GB"/>
              </w:rPr>
              <w:t xml:space="preserve">Subject of </w:t>
            </w:r>
            <w:r w:rsidR="00376041">
              <w:rPr>
                <w:rFonts w:ascii="Arial Narrow" w:hAnsi="Arial Narrow"/>
                <w:b/>
                <w:bCs/>
                <w:sz w:val="20"/>
                <w:szCs w:val="20"/>
                <w:lang w:val="en-GB"/>
              </w:rPr>
              <w:t>violation</w:t>
            </w:r>
          </w:p>
        </w:tc>
        <w:tc>
          <w:tcPr>
            <w:tcW w:w="0" w:type="auto"/>
          </w:tcPr>
          <w:p w:rsidR="00DB28E1" w:rsidRPr="00D66C69" w:rsidRDefault="00DB28E1" w:rsidP="00192A1F">
            <w:pPr>
              <w:pStyle w:val="Default"/>
              <w:jc w:val="both"/>
              <w:rPr>
                <w:rFonts w:ascii="Arial Narrow" w:hAnsi="Arial Narrow"/>
                <w:b/>
                <w:bCs/>
                <w:sz w:val="20"/>
                <w:szCs w:val="20"/>
                <w:lang w:val="en-GB"/>
              </w:rPr>
            </w:pPr>
            <w:proofErr w:type="spellStart"/>
            <w:r w:rsidRPr="00D66C69">
              <w:rPr>
                <w:rFonts w:ascii="Arial Narrow" w:hAnsi="Arial Narrow"/>
                <w:b/>
                <w:bCs/>
                <w:sz w:val="20"/>
                <w:szCs w:val="20"/>
                <w:lang w:val="en-GB"/>
              </w:rPr>
              <w:t>Whistleblower</w:t>
            </w:r>
            <w:proofErr w:type="spellEnd"/>
            <w:r w:rsidRPr="00D66C69">
              <w:rPr>
                <w:rFonts w:ascii="Arial Narrow" w:hAnsi="Arial Narrow"/>
                <w:b/>
                <w:bCs/>
                <w:sz w:val="20"/>
                <w:szCs w:val="20"/>
                <w:lang w:val="en-GB"/>
              </w:rPr>
              <w:t xml:space="preserve"> data</w:t>
            </w:r>
          </w:p>
        </w:tc>
        <w:tc>
          <w:tcPr>
            <w:tcW w:w="0" w:type="auto"/>
          </w:tcPr>
          <w:p w:rsidR="00DB28E1" w:rsidRPr="00D66C69" w:rsidRDefault="00DB28E1" w:rsidP="00192A1F">
            <w:pPr>
              <w:pStyle w:val="Default"/>
              <w:jc w:val="both"/>
              <w:rPr>
                <w:rFonts w:ascii="Arial Narrow" w:hAnsi="Arial Narrow"/>
                <w:b/>
                <w:bCs/>
                <w:sz w:val="20"/>
                <w:szCs w:val="20"/>
                <w:lang w:val="en-GB"/>
              </w:rPr>
            </w:pPr>
            <w:r w:rsidRPr="00D66C69">
              <w:rPr>
                <w:rFonts w:ascii="Arial Narrow" w:hAnsi="Arial Narrow"/>
                <w:b/>
                <w:bCs/>
                <w:sz w:val="20"/>
                <w:szCs w:val="20"/>
                <w:lang w:val="en-GB"/>
              </w:rPr>
              <w:t>Contact address</w:t>
            </w:r>
          </w:p>
        </w:tc>
        <w:tc>
          <w:tcPr>
            <w:tcW w:w="0" w:type="auto"/>
          </w:tcPr>
          <w:p w:rsidR="00DB28E1" w:rsidRPr="00D66C69" w:rsidRDefault="00DB28E1" w:rsidP="00DB28E1">
            <w:pPr>
              <w:pStyle w:val="Default"/>
              <w:jc w:val="both"/>
              <w:rPr>
                <w:rFonts w:ascii="Arial Narrow" w:hAnsi="Arial Narrow"/>
                <w:b/>
                <w:bCs/>
                <w:sz w:val="20"/>
                <w:szCs w:val="20"/>
                <w:lang w:val="en-GB"/>
              </w:rPr>
            </w:pPr>
            <w:r w:rsidRPr="00D66C69">
              <w:rPr>
                <w:rFonts w:ascii="Arial Narrow" w:hAnsi="Arial Narrow"/>
                <w:b/>
                <w:bCs/>
                <w:sz w:val="20"/>
                <w:szCs w:val="20"/>
                <w:lang w:val="en-GB"/>
              </w:rPr>
              <w:t>Details of the person concerned by the report</w:t>
            </w:r>
          </w:p>
        </w:tc>
        <w:tc>
          <w:tcPr>
            <w:tcW w:w="0" w:type="auto"/>
          </w:tcPr>
          <w:p w:rsidR="00DB28E1" w:rsidRPr="00D66C69" w:rsidRDefault="00DB28E1" w:rsidP="00192A1F">
            <w:pPr>
              <w:pStyle w:val="Default"/>
              <w:jc w:val="both"/>
              <w:rPr>
                <w:rFonts w:ascii="Arial Narrow" w:hAnsi="Arial Narrow"/>
                <w:b/>
                <w:bCs/>
                <w:sz w:val="20"/>
                <w:szCs w:val="20"/>
                <w:lang w:val="en-GB"/>
              </w:rPr>
            </w:pPr>
            <w:r w:rsidRPr="00D66C69">
              <w:rPr>
                <w:rFonts w:ascii="Arial Narrow" w:hAnsi="Arial Narrow"/>
                <w:b/>
                <w:bCs/>
                <w:sz w:val="20"/>
                <w:szCs w:val="20"/>
                <w:lang w:val="en-GB"/>
              </w:rPr>
              <w:t>Information on follow-up actions taken</w:t>
            </w:r>
          </w:p>
        </w:tc>
        <w:tc>
          <w:tcPr>
            <w:tcW w:w="0" w:type="auto"/>
          </w:tcPr>
          <w:p w:rsidR="00DB28E1" w:rsidRPr="00D66C69" w:rsidRDefault="00DB28E1" w:rsidP="00DB28E1">
            <w:pPr>
              <w:pStyle w:val="Default"/>
              <w:jc w:val="both"/>
              <w:rPr>
                <w:rFonts w:ascii="Arial Narrow" w:hAnsi="Arial Narrow"/>
                <w:b/>
                <w:bCs/>
                <w:sz w:val="20"/>
                <w:szCs w:val="20"/>
                <w:lang w:val="en-GB"/>
              </w:rPr>
            </w:pPr>
            <w:r w:rsidRPr="00D66C69">
              <w:rPr>
                <w:rFonts w:ascii="Arial Narrow" w:hAnsi="Arial Narrow"/>
                <w:b/>
                <w:bCs/>
                <w:sz w:val="20"/>
                <w:szCs w:val="20"/>
                <w:lang w:val="en-GB"/>
              </w:rPr>
              <w:t>Case completion date</w:t>
            </w:r>
          </w:p>
        </w:tc>
      </w:tr>
      <w:tr w:rsidR="00376041" w:rsidRPr="00D66C69" w:rsidTr="00192A1F">
        <w:tc>
          <w:tcPr>
            <w:tcW w:w="0" w:type="auto"/>
          </w:tcPr>
          <w:p w:rsidR="00DB28E1" w:rsidRPr="00D66C69" w:rsidRDefault="00DB28E1" w:rsidP="00192A1F">
            <w:pPr>
              <w:pStyle w:val="Default"/>
              <w:jc w:val="both"/>
              <w:rPr>
                <w:rFonts w:ascii="Arial Narrow" w:hAnsi="Arial Narrow"/>
                <w:b/>
                <w:bCs/>
                <w:sz w:val="20"/>
                <w:szCs w:val="20"/>
                <w:lang w:val="en-GB"/>
              </w:rPr>
            </w:pPr>
          </w:p>
        </w:tc>
        <w:tc>
          <w:tcPr>
            <w:tcW w:w="0" w:type="auto"/>
          </w:tcPr>
          <w:p w:rsidR="00DB28E1" w:rsidRPr="00D66C69" w:rsidRDefault="00DB28E1" w:rsidP="00192A1F">
            <w:pPr>
              <w:pStyle w:val="Default"/>
              <w:jc w:val="both"/>
              <w:rPr>
                <w:rFonts w:ascii="Arial Narrow" w:hAnsi="Arial Narrow"/>
                <w:b/>
                <w:bCs/>
                <w:sz w:val="20"/>
                <w:szCs w:val="20"/>
                <w:lang w:val="en-GB"/>
              </w:rPr>
            </w:pPr>
          </w:p>
        </w:tc>
        <w:tc>
          <w:tcPr>
            <w:tcW w:w="0" w:type="auto"/>
          </w:tcPr>
          <w:p w:rsidR="00DB28E1" w:rsidRPr="00D66C69" w:rsidRDefault="00DB28E1" w:rsidP="00192A1F">
            <w:pPr>
              <w:pStyle w:val="Default"/>
              <w:jc w:val="both"/>
              <w:rPr>
                <w:rFonts w:ascii="Arial Narrow" w:hAnsi="Arial Narrow"/>
                <w:b/>
                <w:bCs/>
                <w:sz w:val="20"/>
                <w:szCs w:val="20"/>
                <w:lang w:val="en-GB"/>
              </w:rPr>
            </w:pPr>
          </w:p>
        </w:tc>
        <w:tc>
          <w:tcPr>
            <w:tcW w:w="0" w:type="auto"/>
          </w:tcPr>
          <w:p w:rsidR="00DB28E1" w:rsidRPr="00D66C69" w:rsidRDefault="00DB28E1" w:rsidP="00192A1F">
            <w:pPr>
              <w:pStyle w:val="Default"/>
              <w:jc w:val="both"/>
              <w:rPr>
                <w:rFonts w:ascii="Arial Narrow" w:hAnsi="Arial Narrow"/>
                <w:b/>
                <w:bCs/>
                <w:sz w:val="20"/>
                <w:szCs w:val="20"/>
                <w:lang w:val="en-GB"/>
              </w:rPr>
            </w:pPr>
          </w:p>
        </w:tc>
        <w:tc>
          <w:tcPr>
            <w:tcW w:w="0" w:type="auto"/>
          </w:tcPr>
          <w:p w:rsidR="00DB28E1" w:rsidRPr="00D66C69" w:rsidRDefault="00DB28E1" w:rsidP="00192A1F">
            <w:pPr>
              <w:pStyle w:val="Default"/>
              <w:jc w:val="both"/>
              <w:rPr>
                <w:rFonts w:ascii="Arial Narrow" w:hAnsi="Arial Narrow"/>
                <w:b/>
                <w:bCs/>
                <w:sz w:val="20"/>
                <w:szCs w:val="20"/>
                <w:lang w:val="en-GB"/>
              </w:rPr>
            </w:pPr>
          </w:p>
        </w:tc>
        <w:tc>
          <w:tcPr>
            <w:tcW w:w="0" w:type="auto"/>
          </w:tcPr>
          <w:p w:rsidR="00DB28E1" w:rsidRPr="00D66C69" w:rsidRDefault="00DB28E1" w:rsidP="00192A1F">
            <w:pPr>
              <w:pStyle w:val="Default"/>
              <w:jc w:val="both"/>
              <w:rPr>
                <w:rFonts w:ascii="Arial Narrow" w:hAnsi="Arial Narrow"/>
                <w:b/>
                <w:bCs/>
                <w:sz w:val="20"/>
                <w:szCs w:val="20"/>
                <w:lang w:val="en-GB"/>
              </w:rPr>
            </w:pPr>
          </w:p>
        </w:tc>
        <w:tc>
          <w:tcPr>
            <w:tcW w:w="0" w:type="auto"/>
          </w:tcPr>
          <w:p w:rsidR="00DB28E1" w:rsidRPr="00D66C69" w:rsidRDefault="00DB28E1" w:rsidP="00192A1F">
            <w:pPr>
              <w:pStyle w:val="Default"/>
              <w:jc w:val="both"/>
              <w:rPr>
                <w:rFonts w:ascii="Arial Narrow" w:hAnsi="Arial Narrow"/>
                <w:b/>
                <w:bCs/>
                <w:sz w:val="20"/>
                <w:szCs w:val="20"/>
                <w:lang w:val="en-GB"/>
              </w:rPr>
            </w:pPr>
          </w:p>
        </w:tc>
        <w:tc>
          <w:tcPr>
            <w:tcW w:w="0" w:type="auto"/>
          </w:tcPr>
          <w:p w:rsidR="00DB28E1" w:rsidRPr="00D66C69" w:rsidRDefault="00DB28E1" w:rsidP="00192A1F">
            <w:pPr>
              <w:pStyle w:val="Default"/>
              <w:jc w:val="both"/>
              <w:rPr>
                <w:rFonts w:ascii="Arial Narrow" w:hAnsi="Arial Narrow"/>
                <w:b/>
                <w:bCs/>
                <w:sz w:val="20"/>
                <w:szCs w:val="20"/>
                <w:lang w:val="en-GB"/>
              </w:rPr>
            </w:pPr>
          </w:p>
        </w:tc>
      </w:tr>
      <w:tr w:rsidR="00376041" w:rsidRPr="00D66C69" w:rsidTr="00192A1F">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r>
      <w:tr w:rsidR="00376041" w:rsidRPr="00D66C69" w:rsidTr="00192A1F">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r>
      <w:tr w:rsidR="00376041" w:rsidRPr="00D66C69" w:rsidTr="00192A1F">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r>
      <w:tr w:rsidR="00376041" w:rsidRPr="00D66C69" w:rsidTr="00192A1F">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c>
          <w:tcPr>
            <w:tcW w:w="0" w:type="auto"/>
          </w:tcPr>
          <w:p w:rsidR="00DB28E1" w:rsidRPr="00D66C69" w:rsidRDefault="00DB28E1" w:rsidP="00192A1F">
            <w:pPr>
              <w:pStyle w:val="Default"/>
              <w:jc w:val="both"/>
              <w:rPr>
                <w:rFonts w:ascii="Arial Narrow" w:hAnsi="Arial Narrow"/>
                <w:b/>
                <w:bCs/>
                <w:sz w:val="18"/>
                <w:szCs w:val="18"/>
                <w:lang w:val="en-GB"/>
              </w:rPr>
            </w:pPr>
          </w:p>
        </w:tc>
      </w:tr>
    </w:tbl>
    <w:p w:rsidR="00DB28E1" w:rsidRPr="00D66C69" w:rsidRDefault="00DB28E1" w:rsidP="00DB28E1">
      <w:pPr>
        <w:pStyle w:val="Default"/>
        <w:jc w:val="both"/>
        <w:rPr>
          <w:rFonts w:ascii="Arial Narrow" w:hAnsi="Arial Narrow"/>
          <w:b/>
          <w:bCs/>
          <w:sz w:val="23"/>
          <w:szCs w:val="23"/>
          <w:lang w:val="en-GB"/>
        </w:rPr>
      </w:pPr>
    </w:p>
    <w:sectPr w:rsidR="00DB28E1" w:rsidRPr="00D66C6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67432"/>
    <w:multiLevelType w:val="hybridMultilevel"/>
    <w:tmpl w:val="CFA22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4F651E1"/>
    <w:multiLevelType w:val="multilevel"/>
    <w:tmpl w:val="BE963A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EC"/>
    <w:rsid w:val="00024A17"/>
    <w:rsid w:val="000407C2"/>
    <w:rsid w:val="000608FC"/>
    <w:rsid w:val="0008197F"/>
    <w:rsid w:val="000832FA"/>
    <w:rsid w:val="000A0677"/>
    <w:rsid w:val="000B0FF3"/>
    <w:rsid w:val="000C2D2A"/>
    <w:rsid w:val="000C4417"/>
    <w:rsid w:val="00111113"/>
    <w:rsid w:val="00117994"/>
    <w:rsid w:val="0018427D"/>
    <w:rsid w:val="001B4DF6"/>
    <w:rsid w:val="00210AAA"/>
    <w:rsid w:val="00224B60"/>
    <w:rsid w:val="00242E82"/>
    <w:rsid w:val="00252F0B"/>
    <w:rsid w:val="002616D7"/>
    <w:rsid w:val="00265B2C"/>
    <w:rsid w:val="002770F1"/>
    <w:rsid w:val="002A0319"/>
    <w:rsid w:val="002D3D1C"/>
    <w:rsid w:val="003058E2"/>
    <w:rsid w:val="00335DC8"/>
    <w:rsid w:val="00376041"/>
    <w:rsid w:val="003B6762"/>
    <w:rsid w:val="003E1B0D"/>
    <w:rsid w:val="004304B0"/>
    <w:rsid w:val="004456E2"/>
    <w:rsid w:val="0045388A"/>
    <w:rsid w:val="004F51E3"/>
    <w:rsid w:val="005032F0"/>
    <w:rsid w:val="00543CFB"/>
    <w:rsid w:val="005C358B"/>
    <w:rsid w:val="005E5970"/>
    <w:rsid w:val="005E639C"/>
    <w:rsid w:val="0060228D"/>
    <w:rsid w:val="0060522B"/>
    <w:rsid w:val="00631D4E"/>
    <w:rsid w:val="00637082"/>
    <w:rsid w:val="0064551D"/>
    <w:rsid w:val="00646A77"/>
    <w:rsid w:val="00650188"/>
    <w:rsid w:val="00670CFB"/>
    <w:rsid w:val="00672246"/>
    <w:rsid w:val="006814D1"/>
    <w:rsid w:val="006A00EA"/>
    <w:rsid w:val="006C3606"/>
    <w:rsid w:val="006F1028"/>
    <w:rsid w:val="0070476E"/>
    <w:rsid w:val="00714CBA"/>
    <w:rsid w:val="00730BA3"/>
    <w:rsid w:val="00790DD4"/>
    <w:rsid w:val="007B175C"/>
    <w:rsid w:val="00804ECD"/>
    <w:rsid w:val="008134CB"/>
    <w:rsid w:val="00857B1F"/>
    <w:rsid w:val="0087396C"/>
    <w:rsid w:val="00881935"/>
    <w:rsid w:val="008D57EC"/>
    <w:rsid w:val="0090017E"/>
    <w:rsid w:val="00944B72"/>
    <w:rsid w:val="00982BB7"/>
    <w:rsid w:val="009921E3"/>
    <w:rsid w:val="009A1CCB"/>
    <w:rsid w:val="00A21091"/>
    <w:rsid w:val="00AC368C"/>
    <w:rsid w:val="00B00256"/>
    <w:rsid w:val="00B75831"/>
    <w:rsid w:val="00B75FC1"/>
    <w:rsid w:val="00B9192F"/>
    <w:rsid w:val="00B95BA0"/>
    <w:rsid w:val="00BA4C7E"/>
    <w:rsid w:val="00BE5A0A"/>
    <w:rsid w:val="00C31322"/>
    <w:rsid w:val="00C446A0"/>
    <w:rsid w:val="00C85E41"/>
    <w:rsid w:val="00CA247B"/>
    <w:rsid w:val="00CA5685"/>
    <w:rsid w:val="00CD496F"/>
    <w:rsid w:val="00D31973"/>
    <w:rsid w:val="00D66C69"/>
    <w:rsid w:val="00DB28E1"/>
    <w:rsid w:val="00DC40BB"/>
    <w:rsid w:val="00DC6A11"/>
    <w:rsid w:val="00DF3648"/>
    <w:rsid w:val="00E14357"/>
    <w:rsid w:val="00E4681B"/>
    <w:rsid w:val="00E80ABE"/>
    <w:rsid w:val="00F37F74"/>
    <w:rsid w:val="00F54F7C"/>
    <w:rsid w:val="00F70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66671-D41F-41DA-BA2C-8CEBB583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spacing w:line="240" w:lineRule="auto"/>
      <w:outlineLvl w:val="0"/>
    </w:pPr>
    <w:rPr>
      <w:rFonts w:ascii="Times New Roman" w:eastAsia="Times New Roman" w:hAnsi="Times New Roman" w:cs="Times New Roman"/>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Akapitzlist">
    <w:name w:val="List Paragraph"/>
    <w:basedOn w:val="Normalny"/>
    <w:uiPriority w:val="34"/>
    <w:qFormat/>
    <w:rsid w:val="006C3606"/>
    <w:pPr>
      <w:ind w:left="720"/>
      <w:contextualSpacing/>
    </w:pPr>
  </w:style>
  <w:style w:type="character" w:styleId="Hipercze">
    <w:name w:val="Hyperlink"/>
    <w:basedOn w:val="Domylnaczcionkaakapitu"/>
    <w:uiPriority w:val="99"/>
    <w:unhideWhenUsed/>
    <w:rsid w:val="006C3606"/>
    <w:rPr>
      <w:color w:val="0000FF" w:themeColor="hyperlink"/>
      <w:u w:val="single"/>
    </w:rPr>
  </w:style>
  <w:style w:type="paragraph" w:customStyle="1" w:styleId="Default">
    <w:name w:val="Default"/>
    <w:rsid w:val="00DB28E1"/>
    <w:pPr>
      <w:autoSpaceDE w:val="0"/>
      <w:autoSpaceDN w:val="0"/>
      <w:adjustRightInd w:val="0"/>
      <w:spacing w:after="0" w:line="240" w:lineRule="auto"/>
    </w:pPr>
    <w:rPr>
      <w:rFonts w:ascii="Arial" w:eastAsiaTheme="minorHAnsi" w:hAnsi="Arial" w:cs="Arial"/>
      <w:color w:val="000000"/>
      <w:sz w:val="24"/>
      <w:szCs w:val="24"/>
      <w:lang w:val="pl-PL" w:eastAsia="en-US"/>
    </w:rPr>
  </w:style>
  <w:style w:type="table" w:styleId="Tabela-Siatka">
    <w:name w:val="Table Grid"/>
    <w:basedOn w:val="Standardowy"/>
    <w:uiPriority w:val="59"/>
    <w:rsid w:val="00DB28E1"/>
    <w:pPr>
      <w:spacing w:after="0"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gnalista@iz.edu.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3639</Words>
  <Characters>21839</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Kinga Gwóźdź</cp:lastModifiedBy>
  <cp:revision>2</cp:revision>
  <dcterms:created xsi:type="dcterms:W3CDTF">2024-10-14T09:32:00Z</dcterms:created>
  <dcterms:modified xsi:type="dcterms:W3CDTF">2024-10-14T09:32:00Z</dcterms:modified>
</cp:coreProperties>
</file>